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931838">
        <w:rPr>
          <w:rFonts w:ascii="Palatino Linotype" w:eastAsia="Calibri" w:hAnsi="Palatino Linotype" w:cs="Arial"/>
          <w:b/>
          <w:sz w:val="24"/>
          <w:szCs w:val="24"/>
        </w:rPr>
        <w:t>04492/INFOEM/IP/RR/2018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FE083B" w:rsidRPr="006E702D" w:rsidRDefault="00FE083B" w:rsidP="00FE083B">
      <w:pPr>
        <w:spacing w:line="360" w:lineRule="auto"/>
        <w:jc w:val="both"/>
        <w:rPr>
          <w:rFonts w:ascii="Palatino Linotype" w:hAnsi="Palatino Linotype" w:cs="Arial"/>
          <w:sz w:val="24"/>
        </w:rPr>
      </w:pPr>
      <w:r w:rsidRPr="006E702D">
        <w:rPr>
          <w:rFonts w:ascii="Palatino Linotype" w:hAnsi="Palatino Linotype" w:cs="Arial"/>
          <w:sz w:val="24"/>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FE083B" w:rsidRPr="006E702D" w:rsidRDefault="00FE083B" w:rsidP="00FE083B">
      <w:pPr>
        <w:spacing w:line="360" w:lineRule="auto"/>
        <w:jc w:val="both"/>
        <w:rPr>
          <w:rFonts w:ascii="Palatino Linotype" w:hAnsi="Palatino Linotype" w:cs="Arial"/>
          <w:sz w:val="24"/>
        </w:rPr>
      </w:pPr>
      <w:r w:rsidRPr="006E702D">
        <w:rPr>
          <w:rFonts w:ascii="Palatino Linotype" w:hAnsi="Palatino Linotype" w:cs="Arial"/>
          <w:sz w:val="24"/>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FE083B" w:rsidRPr="006E702D" w:rsidRDefault="00FE083B" w:rsidP="00FE083B">
      <w:pPr>
        <w:spacing w:line="360" w:lineRule="auto"/>
        <w:jc w:val="both"/>
        <w:rPr>
          <w:rFonts w:ascii="Palatino Linotype" w:hAnsi="Palatino Linotype" w:cs="Arial"/>
          <w:sz w:val="24"/>
        </w:rPr>
      </w:pPr>
      <w:r w:rsidRPr="006E702D">
        <w:rPr>
          <w:rFonts w:ascii="Palatino Linotype" w:hAnsi="Palatino Linotype" w:cs="Arial"/>
          <w:sz w:val="24"/>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FE083B" w:rsidRPr="00CC0EC5" w:rsidRDefault="00FE083B" w:rsidP="00FE083B">
      <w:pPr>
        <w:spacing w:line="360" w:lineRule="auto"/>
        <w:jc w:val="both"/>
        <w:rPr>
          <w:rFonts w:ascii="Palatino Linotype" w:hAnsi="Palatino Linotype" w:cs="Arial"/>
        </w:rPr>
      </w:pPr>
    </w:p>
    <w:p w:rsidR="00FE083B" w:rsidRPr="00877AE6" w:rsidRDefault="00FE083B" w:rsidP="00FE083B">
      <w:pPr>
        <w:pStyle w:val="Sinespaciado"/>
        <w:spacing w:line="360" w:lineRule="auto"/>
        <w:jc w:val="both"/>
        <w:rPr>
          <w:rFonts w:ascii="Palatino Linotype" w:hAnsi="Palatino Linotype"/>
          <w:color w:val="000000" w:themeColor="text1"/>
          <w:sz w:val="24"/>
          <w:szCs w:val="24"/>
          <w:lang w:eastAsia="es-MX"/>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FE083B" w:rsidRPr="00FE083B" w:rsidRDefault="009C382C" w:rsidP="00FE083B">
          <w:pPr>
            <w:pStyle w:val="TDC1"/>
            <w:spacing w:line="480" w:lineRule="auto"/>
            <w:rPr>
              <w:rFonts w:ascii="Palatino Linotype" w:eastAsiaTheme="minorEastAsia" w:hAnsi="Palatino Linotype"/>
              <w:noProof/>
              <w:sz w:val="24"/>
              <w:szCs w:val="24"/>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527994041" w:history="1">
            <w:r w:rsidR="00FE083B" w:rsidRPr="00FE083B">
              <w:rPr>
                <w:rStyle w:val="Hipervnculo"/>
                <w:rFonts w:ascii="Palatino Linotype" w:eastAsia="Times New Roman" w:hAnsi="Palatino Linotype"/>
                <w:b/>
                <w:noProof/>
                <w:sz w:val="24"/>
                <w:szCs w:val="24"/>
              </w:rPr>
              <w:t>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Times New Roman" w:hAnsi="Palatino Linotype"/>
                <w:b/>
                <w:noProof/>
                <w:sz w:val="24"/>
                <w:szCs w:val="24"/>
              </w:rPr>
              <w:t>Consideraciones Generales</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_Toc527994041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B16632">
              <w:rPr>
                <w:rFonts w:ascii="Palatino Linotype" w:hAnsi="Palatino Linotype"/>
                <w:noProof/>
                <w:webHidden/>
                <w:sz w:val="24"/>
                <w:szCs w:val="24"/>
              </w:rPr>
              <w:t>3</w:t>
            </w:r>
            <w:r w:rsidR="00FE083B" w:rsidRPr="00FE083B">
              <w:rPr>
                <w:rFonts w:ascii="Palatino Linotype" w:hAnsi="Palatino Linotype"/>
                <w:noProof/>
                <w:webHidden/>
                <w:sz w:val="24"/>
                <w:szCs w:val="24"/>
              </w:rPr>
              <w:fldChar w:fldCharType="end"/>
            </w:r>
          </w:hyperlink>
        </w:p>
        <w:p w:rsidR="00FE083B" w:rsidRPr="00FE083B" w:rsidRDefault="005635BF" w:rsidP="00FE083B">
          <w:pPr>
            <w:pStyle w:val="TDC1"/>
            <w:spacing w:line="480" w:lineRule="auto"/>
            <w:rPr>
              <w:rFonts w:ascii="Palatino Linotype" w:eastAsiaTheme="minorEastAsia" w:hAnsi="Palatino Linotype"/>
              <w:noProof/>
              <w:sz w:val="24"/>
              <w:szCs w:val="24"/>
              <w:lang w:eastAsia="es-MX"/>
            </w:rPr>
          </w:pPr>
          <w:hyperlink w:anchor="_Toc527994042" w:history="1">
            <w:r w:rsidR="00FE083B" w:rsidRPr="00FE083B">
              <w:rPr>
                <w:rStyle w:val="Hipervnculo"/>
                <w:rFonts w:ascii="Palatino Linotype" w:eastAsia="Calibri" w:hAnsi="Palatino Linotype"/>
                <w:b/>
                <w:noProof/>
                <w:sz w:val="24"/>
                <w:szCs w:val="24"/>
                <w:lang w:val="es-ES"/>
              </w:rPr>
              <w:t>II.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Calibri" w:hAnsi="Palatino Linotype"/>
                <w:b/>
                <w:noProof/>
                <w:sz w:val="24"/>
                <w:szCs w:val="24"/>
                <w:lang w:val="es-ES"/>
              </w:rPr>
              <w:t>De los requerimientos planteados en el recurso de revisión.</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_Toc527994042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B16632">
              <w:rPr>
                <w:rFonts w:ascii="Palatino Linotype" w:hAnsi="Palatino Linotype"/>
                <w:noProof/>
                <w:webHidden/>
                <w:sz w:val="24"/>
                <w:szCs w:val="24"/>
              </w:rPr>
              <w:t>4</w:t>
            </w:r>
            <w:r w:rsidR="00FE083B" w:rsidRPr="00FE083B">
              <w:rPr>
                <w:rFonts w:ascii="Palatino Linotype" w:hAnsi="Palatino Linotype"/>
                <w:noProof/>
                <w:webHidden/>
                <w:sz w:val="24"/>
                <w:szCs w:val="24"/>
              </w:rPr>
              <w:fldChar w:fldCharType="end"/>
            </w:r>
          </w:hyperlink>
        </w:p>
        <w:p w:rsidR="00FE083B" w:rsidRPr="00FE083B" w:rsidRDefault="005635BF" w:rsidP="00FE083B">
          <w:pPr>
            <w:pStyle w:val="TDC1"/>
            <w:spacing w:line="480" w:lineRule="auto"/>
            <w:rPr>
              <w:rFonts w:ascii="Palatino Linotype" w:eastAsiaTheme="minorEastAsia" w:hAnsi="Palatino Linotype"/>
              <w:noProof/>
              <w:sz w:val="24"/>
              <w:szCs w:val="24"/>
              <w:lang w:eastAsia="es-MX"/>
            </w:rPr>
          </w:pPr>
          <w:hyperlink w:anchor="_Toc527994043" w:history="1">
            <w:r w:rsidR="00FE083B" w:rsidRPr="00FE083B">
              <w:rPr>
                <w:rStyle w:val="Hipervnculo"/>
                <w:rFonts w:ascii="Palatino Linotype" w:hAnsi="Palatino Linotype"/>
                <w:b/>
                <w:noProof/>
                <w:sz w:val="24"/>
                <w:szCs w:val="24"/>
              </w:rPr>
              <w:t>De la respuesta del Sujeto Obligado.</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_Toc527994043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B16632">
              <w:rPr>
                <w:rFonts w:ascii="Palatino Linotype" w:hAnsi="Palatino Linotype"/>
                <w:noProof/>
                <w:webHidden/>
                <w:sz w:val="24"/>
                <w:szCs w:val="24"/>
              </w:rPr>
              <w:t>5</w:t>
            </w:r>
            <w:r w:rsidR="00FE083B" w:rsidRPr="00FE083B">
              <w:rPr>
                <w:rFonts w:ascii="Palatino Linotype" w:hAnsi="Palatino Linotype"/>
                <w:noProof/>
                <w:webHidden/>
                <w:sz w:val="24"/>
                <w:szCs w:val="24"/>
              </w:rPr>
              <w:fldChar w:fldCharType="end"/>
            </w:r>
          </w:hyperlink>
        </w:p>
        <w:p w:rsidR="009C382C" w:rsidRPr="00877AE6" w:rsidRDefault="009C382C" w:rsidP="00FE083B">
          <w:pPr>
            <w:spacing w:line="480" w:lineRule="auto"/>
            <w:rPr>
              <w:rFonts w:ascii="Palatino Linotype" w:hAnsi="Palatino Linotype"/>
              <w:sz w:val="24"/>
              <w:szCs w:val="24"/>
            </w:rPr>
          </w:pPr>
          <w:r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bookmarkStart w:id="0" w:name="_Toc526786187"/>
    <w:bookmarkStart w:id="1" w:name="_Toc527381339"/>
    <w:p w:rsidR="008F7805" w:rsidRPr="00877AE6" w:rsidRDefault="00C20346" w:rsidP="008F7805">
      <w:pPr>
        <w:rPr>
          <w:rFonts w:ascii="Palatino Linotype" w:hAnsi="Palatino Linotype"/>
          <w:sz w:val="24"/>
          <w:szCs w:val="24"/>
        </w:rPr>
      </w:pPr>
      <w:r w:rsidRPr="00877AE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78A4DFD" wp14:editId="3FDEC272">
                <wp:simplePos x="0" y="0"/>
                <wp:positionH relativeFrom="column">
                  <wp:posOffset>27940</wp:posOffset>
                </wp:positionH>
                <wp:positionV relativeFrom="paragraph">
                  <wp:posOffset>9828</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ADC31"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75pt" to="42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" strokecolor="black [3200]" strokeweight="1.5pt">
                <v:stroke joinstyle="miter"/>
              </v:line>
            </w:pict>
          </mc:Fallback>
        </mc:AlternateContent>
      </w:r>
      <w:bookmarkEnd w:id="0"/>
      <w:bookmarkEnd w:id="1"/>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2" w:name="_Toc527994041"/>
      <w:r w:rsidRPr="00877AE6">
        <w:rPr>
          <w:rFonts w:ascii="Palatino Linotype" w:eastAsia="Times New Roman" w:hAnsi="Palatino Linotype"/>
          <w:b/>
          <w:color w:val="auto"/>
          <w:sz w:val="24"/>
          <w:szCs w:val="24"/>
        </w:rPr>
        <w:lastRenderedPageBreak/>
        <w:t>Consideraciones Generales</w:t>
      </w:r>
      <w:bookmarkEnd w:id="2"/>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6E702D">
      <w:pPr>
        <w:numPr>
          <w:ilvl w:val="0"/>
          <w:numId w:val="2"/>
        </w:numPr>
        <w:spacing w:after="0" w:line="360" w:lineRule="auto"/>
        <w:ind w:left="0" w:firstLine="0"/>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931838">
        <w:rPr>
          <w:rFonts w:ascii="Palatino Linotype" w:eastAsia="Calibri" w:hAnsi="Palatino Linotype" w:cs="Arial"/>
          <w:sz w:val="24"/>
          <w:szCs w:val="24"/>
        </w:rPr>
        <w:t>Cuarta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931838">
        <w:rPr>
          <w:rFonts w:ascii="Palatino Linotype" w:eastAsia="Calibri" w:hAnsi="Palatino Linotype" w:cs="Arial"/>
          <w:sz w:val="24"/>
          <w:szCs w:val="24"/>
        </w:rPr>
        <w:t>treinta</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931838">
        <w:rPr>
          <w:rFonts w:ascii="Palatino Linotype" w:eastAsia="Calibri" w:hAnsi="Palatino Linotype" w:cs="Arial"/>
          <w:sz w:val="24"/>
          <w:szCs w:val="24"/>
        </w:rPr>
        <w:t>30</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3D1DF8">
        <w:rPr>
          <w:rFonts w:ascii="Palatino Linotype" w:eastAsia="Calibri" w:hAnsi="Palatino Linotype" w:cs="Arial"/>
          <w:sz w:val="24"/>
          <w:szCs w:val="24"/>
        </w:rPr>
        <w:t>enero</w:t>
      </w:r>
      <w:r w:rsidR="004137A7" w:rsidRPr="00877AE6">
        <w:rPr>
          <w:rFonts w:ascii="Palatino Linotype" w:eastAsia="Calibri" w:hAnsi="Palatino Linotype" w:cs="Arial"/>
          <w:sz w:val="24"/>
          <w:szCs w:val="24"/>
        </w:rPr>
        <w:t xml:space="preserve"> de </w:t>
      </w:r>
      <w:r w:rsidR="003D1DF8">
        <w:rPr>
          <w:rFonts w:ascii="Palatino Linotype" w:eastAsia="Calibri" w:hAnsi="Palatino Linotype" w:cs="Arial"/>
          <w:sz w:val="24"/>
          <w:szCs w:val="24"/>
        </w:rPr>
        <w:t>la presente</w:t>
      </w:r>
      <w:r w:rsidR="00032D26" w:rsidRPr="00877AE6">
        <w:rPr>
          <w:rFonts w:ascii="Palatino Linotype" w:eastAsia="Calibri" w:hAnsi="Palatino Linotype" w:cs="Arial"/>
          <w:sz w:val="24"/>
          <w:szCs w:val="24"/>
        </w:rPr>
        <w:t xml:space="preserve"> anualidad</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en contra de la respuesta de</w:t>
      </w:r>
      <w:r w:rsidR="00931838">
        <w:rPr>
          <w:rFonts w:ascii="Palatino Linotype" w:eastAsia="Calibri" w:hAnsi="Palatino Linotype" w:cs="Arial"/>
          <w:sz w:val="24"/>
          <w:szCs w:val="24"/>
        </w:rPr>
        <w:t xml:space="preserve"> </w:t>
      </w:r>
      <w:r w:rsidR="004B0239" w:rsidRPr="00877AE6">
        <w:rPr>
          <w:rFonts w:ascii="Palatino Linotype" w:eastAsia="Calibri" w:hAnsi="Palatino Linotype" w:cs="Arial"/>
          <w:sz w:val="24"/>
          <w:szCs w:val="24"/>
        </w:rPr>
        <w:t>l</w:t>
      </w:r>
      <w:r w:rsidR="00931838">
        <w:rPr>
          <w:rFonts w:ascii="Palatino Linotype" w:eastAsia="Calibri" w:hAnsi="Palatino Linotype" w:cs="Arial"/>
          <w:sz w:val="24"/>
          <w:szCs w:val="24"/>
        </w:rPr>
        <w:t>a</w:t>
      </w:r>
      <w:r w:rsidR="00E469EB" w:rsidRPr="00877AE6">
        <w:rPr>
          <w:rFonts w:ascii="Palatino Linotype" w:eastAsia="Times New Roman" w:hAnsi="Palatino Linotype" w:cs="Arial"/>
          <w:b/>
          <w:sz w:val="24"/>
          <w:szCs w:val="24"/>
          <w:lang w:val="es-ES" w:eastAsia="es-ES"/>
        </w:rPr>
        <w:t xml:space="preserve"> </w:t>
      </w:r>
      <w:r w:rsidR="00931838">
        <w:rPr>
          <w:rFonts w:ascii="Palatino Linotype" w:hAnsi="Palatino Linotype" w:cs="Arial"/>
          <w:b/>
          <w:sz w:val="24"/>
          <w:szCs w:val="24"/>
        </w:rPr>
        <w:t>Universidad Politécnica del Valle de Toluca</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931838">
        <w:rPr>
          <w:rFonts w:ascii="Palatino Linotype" w:hAnsi="Palatino Linotype"/>
          <w:b/>
          <w:sz w:val="24"/>
          <w:szCs w:val="24"/>
        </w:rPr>
        <w:t>04492/INFOEM/IP/RR/2018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931838" w:rsidRPr="00EC673D" w:rsidRDefault="000D5AEA" w:rsidP="006E702D">
      <w:pPr>
        <w:numPr>
          <w:ilvl w:val="0"/>
          <w:numId w:val="2"/>
        </w:numPr>
        <w:spacing w:after="0" w:line="360" w:lineRule="auto"/>
        <w:ind w:left="0" w:firstLine="0"/>
        <w:contextualSpacing/>
        <w:jc w:val="both"/>
        <w:rPr>
          <w:rFonts w:ascii="Palatino Linotype" w:hAnsi="Palatino Linotype" w:cs="Arial"/>
          <w:sz w:val="24"/>
          <w:szCs w:val="24"/>
          <w:lang w:val="es-ES"/>
        </w:rPr>
      </w:pPr>
      <w:r w:rsidRPr="00EC673D">
        <w:rPr>
          <w:rFonts w:ascii="Palatino Linotype" w:eastAsia="Calibri" w:hAnsi="Palatino Linotype" w:cs="Arial"/>
          <w:sz w:val="24"/>
          <w:szCs w:val="24"/>
        </w:rPr>
        <w:t>L</w:t>
      </w:r>
      <w:r w:rsidR="004B0239" w:rsidRPr="00EC673D">
        <w:rPr>
          <w:rFonts w:ascii="Palatino Linotype" w:eastAsia="Calibri" w:hAnsi="Palatino Linotype" w:cs="Arial"/>
          <w:sz w:val="24"/>
          <w:szCs w:val="24"/>
        </w:rPr>
        <w:t xml:space="preserve">a resolución </w:t>
      </w:r>
      <w:r w:rsidR="00362134" w:rsidRPr="00EC673D">
        <w:rPr>
          <w:rFonts w:ascii="Palatino Linotype" w:eastAsia="Calibri" w:hAnsi="Palatino Linotype" w:cs="Arial"/>
          <w:sz w:val="24"/>
          <w:szCs w:val="24"/>
        </w:rPr>
        <w:t>determino</w:t>
      </w:r>
      <w:r w:rsidR="00362134" w:rsidRPr="00EC673D">
        <w:rPr>
          <w:rFonts w:ascii="Palatino Linotype" w:hAnsi="Palatino Linotype" w:cs="Arial"/>
          <w:sz w:val="24"/>
          <w:szCs w:val="24"/>
          <w:lang w:val="es-ES_tradnl"/>
        </w:rPr>
        <w:t xml:space="preserve">, </w:t>
      </w:r>
      <w:r w:rsidR="00FE083B" w:rsidRPr="00EC673D">
        <w:rPr>
          <w:rFonts w:ascii="Palatino Linotype" w:hAnsi="Palatino Linotype" w:cs="Arial"/>
          <w:sz w:val="24"/>
          <w:szCs w:val="24"/>
          <w:lang w:val="es-ES_tradnl"/>
        </w:rPr>
        <w:t xml:space="preserve">que </w:t>
      </w:r>
      <w:r w:rsidR="00FE083B" w:rsidRPr="00EC673D">
        <w:rPr>
          <w:rFonts w:ascii="Palatino Linotype" w:hAnsi="Palatino Linotype"/>
          <w:sz w:val="24"/>
          <w:szCs w:val="24"/>
        </w:rPr>
        <w:t>el S</w:t>
      </w:r>
      <w:r w:rsidR="004505EE" w:rsidRPr="00EC673D">
        <w:rPr>
          <w:rFonts w:ascii="Palatino Linotype" w:hAnsi="Palatino Linotype"/>
          <w:sz w:val="24"/>
          <w:szCs w:val="24"/>
        </w:rPr>
        <w:t xml:space="preserve">ujeto </w:t>
      </w:r>
      <w:r w:rsidR="00FE083B" w:rsidRPr="00EC673D">
        <w:rPr>
          <w:rFonts w:ascii="Palatino Linotype" w:hAnsi="Palatino Linotype"/>
          <w:sz w:val="24"/>
          <w:szCs w:val="24"/>
        </w:rPr>
        <w:t>O</w:t>
      </w:r>
      <w:r w:rsidR="00343BFF" w:rsidRPr="00EC673D">
        <w:rPr>
          <w:rFonts w:ascii="Palatino Linotype" w:hAnsi="Palatino Linotype"/>
          <w:sz w:val="24"/>
          <w:szCs w:val="24"/>
        </w:rPr>
        <w:t xml:space="preserve">bligado </w:t>
      </w:r>
      <w:r w:rsidR="00931838" w:rsidRPr="00EC673D">
        <w:rPr>
          <w:rFonts w:ascii="Palatino Linotype" w:hAnsi="Palatino Linotype" w:cs="Arial"/>
          <w:sz w:val="24"/>
          <w:szCs w:val="24"/>
          <w:lang w:val="es-ES"/>
        </w:rPr>
        <w:t xml:space="preserve">haga entrega a  la recurrente, previa búsqueda exhaustiva y razonable, vía SAIMEX, </w:t>
      </w:r>
      <w:r w:rsidR="00931838" w:rsidRPr="00EC673D">
        <w:rPr>
          <w:rFonts w:ascii="Palatino Linotype" w:eastAsia="Calibri" w:hAnsi="Palatino Linotype" w:cs="Arial"/>
          <w:sz w:val="24"/>
          <w:szCs w:val="24"/>
        </w:rPr>
        <w:t>de ser procedente en versión pública</w:t>
      </w:r>
      <w:r w:rsidR="00931838" w:rsidRPr="00EC673D">
        <w:rPr>
          <w:rFonts w:ascii="Palatino Linotype" w:hAnsi="Palatino Linotype" w:cs="Arial"/>
          <w:sz w:val="24"/>
          <w:szCs w:val="24"/>
          <w:lang w:val="es-ES"/>
        </w:rPr>
        <w:t>, de lo siguiente:</w:t>
      </w:r>
    </w:p>
    <w:p w:rsidR="00931838" w:rsidRPr="001A27EB" w:rsidRDefault="00931838" w:rsidP="00931838">
      <w:pPr>
        <w:pStyle w:val="Prrafodelista"/>
        <w:spacing w:before="100" w:beforeAutospacing="1" w:after="100" w:afterAutospacing="1"/>
        <w:ind w:left="709" w:right="902" w:hanging="142"/>
        <w:jc w:val="both"/>
        <w:rPr>
          <w:rFonts w:ascii="Palatino Linotype" w:hAnsi="Palatino Linotype" w:cs="Arial"/>
          <w:i/>
          <w:lang w:eastAsia="es-MX"/>
        </w:rPr>
      </w:pPr>
      <w:r w:rsidRPr="001A27EB">
        <w:rPr>
          <w:rFonts w:ascii="Palatino Linotype" w:hAnsi="Palatino Linotype" w:cs="Arial"/>
          <w:i/>
          <w:lang w:eastAsia="es-MX"/>
        </w:rPr>
        <w:t xml:space="preserve">“Los documentos firmados por la Dra. Silvia Cristina </w:t>
      </w:r>
      <w:proofErr w:type="spellStart"/>
      <w:r w:rsidRPr="001A27EB">
        <w:rPr>
          <w:rFonts w:ascii="Palatino Linotype" w:hAnsi="Palatino Linotype" w:cs="Arial"/>
          <w:i/>
          <w:lang w:eastAsia="es-MX"/>
        </w:rPr>
        <w:t>Manzur</w:t>
      </w:r>
      <w:proofErr w:type="spellEnd"/>
      <w:r w:rsidRPr="001A27EB">
        <w:rPr>
          <w:rFonts w:ascii="Palatino Linotype" w:hAnsi="Palatino Linotype" w:cs="Arial"/>
          <w:i/>
          <w:lang w:eastAsia="es-MX"/>
        </w:rPr>
        <w:t xml:space="preserve"> Quiroga, durante el periodo del 16 al 22 de octubre de 2017. Para el caso de que derivado de la búsqueda exhaustiva y razonable de la información, no se localice documento alguno por no haberse generado, deberá de hacerlo del conocimiento de </w:t>
      </w:r>
      <w:r w:rsidRPr="001A27EB">
        <w:rPr>
          <w:rFonts w:ascii="Palatino Linotype" w:hAnsi="Palatino Linotype" w:cs="Arial"/>
          <w:b/>
          <w:i/>
          <w:lang w:eastAsia="es-MX"/>
        </w:rPr>
        <w:t>LA RECURRENTE.</w:t>
      </w:r>
    </w:p>
    <w:p w:rsidR="00931838" w:rsidRPr="001A27EB" w:rsidRDefault="00931838" w:rsidP="00931838">
      <w:pPr>
        <w:spacing w:before="100" w:beforeAutospacing="1" w:after="100" w:afterAutospacing="1"/>
        <w:ind w:left="709" w:right="902"/>
        <w:jc w:val="both"/>
        <w:rPr>
          <w:rFonts w:ascii="Palatino Linotype" w:hAnsi="Palatino Linotype"/>
          <w:i/>
          <w:iCs/>
          <w:color w:val="222222"/>
          <w:shd w:val="clear" w:color="auto" w:fill="FFFFFF"/>
        </w:rPr>
      </w:pPr>
      <w:r w:rsidRPr="001A27EB">
        <w:rPr>
          <w:rFonts w:ascii="Palatino Linotype" w:hAnsi="Palatino Linotype"/>
          <w:i/>
          <w:iCs/>
          <w:color w:val="222222"/>
          <w:shd w:val="clear" w:color="auto" w:fill="FFFFFF"/>
        </w:rPr>
        <w:t xml:space="preserve">Debiendo </w:t>
      </w:r>
      <w:r w:rsidRPr="001A27EB">
        <w:rPr>
          <w:rFonts w:ascii="Palatino Linotype" w:eastAsia="Arial Unicode MS" w:hAnsi="Palatino Linotype"/>
          <w:i/>
        </w:rPr>
        <w:t>notificar</w:t>
      </w:r>
      <w:r w:rsidRPr="001A27EB">
        <w:rPr>
          <w:rFonts w:ascii="Palatino Linotype" w:hAnsi="Palatino Linotype"/>
          <w:i/>
          <w:iCs/>
          <w:color w:val="222222"/>
          <w:shd w:val="clear" w:color="auto" w:fill="FFFFFF"/>
        </w:rPr>
        <w:t xml:space="preserve"> a </w:t>
      </w:r>
      <w:r w:rsidRPr="001A27EB">
        <w:rPr>
          <w:rFonts w:ascii="Palatino Linotype" w:hAnsi="Palatino Linotype"/>
          <w:b/>
          <w:bCs/>
          <w:i/>
          <w:iCs/>
          <w:color w:val="222222"/>
          <w:shd w:val="clear" w:color="auto" w:fill="FFFFFF"/>
        </w:rPr>
        <w:t>LA RECURRENTE</w:t>
      </w:r>
      <w:r w:rsidRPr="001A27EB">
        <w:rPr>
          <w:rStyle w:val="apple-converted-space"/>
          <w:rFonts w:ascii="Palatino Linotype" w:hAnsi="Palatino Linotype"/>
          <w:b/>
          <w:bCs/>
          <w:i/>
          <w:iCs/>
          <w:color w:val="222222"/>
          <w:shd w:val="clear" w:color="auto" w:fill="FFFFFF"/>
        </w:rPr>
        <w:t xml:space="preserve"> </w:t>
      </w:r>
      <w:r w:rsidRPr="001A27EB">
        <w:rPr>
          <w:rFonts w:ascii="Palatino Linotype" w:hAnsi="Palatino Linotype"/>
          <w:i/>
          <w:iCs/>
          <w:color w:val="222222"/>
          <w:shd w:val="clear" w:color="auto" w:fill="FFFFFF"/>
        </w:rPr>
        <w:t xml:space="preserve">el Acuerdo de Clasificación de la </w:t>
      </w:r>
      <w:r w:rsidRPr="001A27EB">
        <w:rPr>
          <w:rFonts w:ascii="Palatino Linotype" w:hAnsi="Palatino Linotype" w:cs="Arial"/>
          <w:i/>
          <w:lang w:eastAsia="es-MX"/>
        </w:rPr>
        <w:t>información</w:t>
      </w:r>
      <w:r w:rsidRPr="001A27EB">
        <w:rPr>
          <w:rFonts w:ascii="Palatino Linotype" w:hAnsi="Palatino Linotype"/>
          <w:i/>
          <w:iCs/>
          <w:color w:val="222222"/>
          <w:shd w:val="clear" w:color="auto" w:fill="FFFFFF"/>
        </w:rPr>
        <w:t xml:space="preserve"> que </w:t>
      </w:r>
      <w:r w:rsidRPr="001A27EB">
        <w:rPr>
          <w:rFonts w:ascii="Palatino Linotype" w:hAnsi="Palatino Linotype"/>
          <w:i/>
        </w:rPr>
        <w:t>emita</w:t>
      </w:r>
      <w:r w:rsidRPr="001A27EB">
        <w:rPr>
          <w:rFonts w:ascii="Palatino Linotype" w:hAnsi="Palatino Linotype"/>
          <w:i/>
          <w:iCs/>
          <w:color w:val="222222"/>
          <w:shd w:val="clear" w:color="auto" w:fill="FFFFFF"/>
        </w:rPr>
        <w:t xml:space="preserve"> el Comité de Transparencia con motivo de la versión pública.</w:t>
      </w:r>
    </w:p>
    <w:p w:rsidR="00931838" w:rsidRPr="001A27EB" w:rsidRDefault="00931838" w:rsidP="00931838">
      <w:pPr>
        <w:spacing w:before="160" w:line="276" w:lineRule="auto"/>
        <w:ind w:left="709" w:right="902"/>
        <w:jc w:val="both"/>
        <w:rPr>
          <w:rFonts w:ascii="Palatino Linotype" w:hAnsi="Palatino Linotype"/>
          <w:bCs/>
          <w:i/>
        </w:rPr>
      </w:pPr>
      <w:r w:rsidRPr="001A27EB">
        <w:rPr>
          <w:rFonts w:ascii="Palatino Linotype" w:hAnsi="Palatino Linotype"/>
          <w:bCs/>
          <w:i/>
        </w:rPr>
        <w:t xml:space="preserve">Asimismo, para el caso de que algún oficio firmado por la Rectora en el periodo referido, encuadre con alguna causal prevista en el artículo 140 de la Ley de la materia, deberá elaborar un Acuerdo de Clasificación que apruebe el Comité de Transparencia, en el que funde y motive la clasificación de dicha información como </w:t>
      </w:r>
      <w:r w:rsidRPr="001A27EB">
        <w:rPr>
          <w:rFonts w:ascii="Palatino Linotype" w:hAnsi="Palatino Linotype"/>
          <w:bCs/>
          <w:i/>
        </w:rPr>
        <w:lastRenderedPageBreak/>
        <w:t xml:space="preserve">reservada en su totalidad, en términos de los artículos 129 y 141 de la citada Ley de la Transparencia, debiendo notificarlo al </w:t>
      </w:r>
      <w:r w:rsidRPr="001A27EB">
        <w:rPr>
          <w:rFonts w:ascii="Palatino Linotype" w:hAnsi="Palatino Linotype"/>
          <w:b/>
          <w:bCs/>
          <w:i/>
        </w:rPr>
        <w:t>RECURRENTE</w:t>
      </w:r>
      <w:r w:rsidRPr="001A27EB">
        <w:rPr>
          <w:rFonts w:ascii="Palatino Linotype" w:hAnsi="Palatino Linotype"/>
          <w:bCs/>
          <w:i/>
        </w:rPr>
        <w:t xml:space="preserve"> al momento de dar cumplimiento a la presente resolución.</w:t>
      </w:r>
      <w:r w:rsidRPr="001A27EB">
        <w:rPr>
          <w:rFonts w:ascii="Palatino Linotype" w:hAnsi="Palatino Linotype"/>
          <w:bCs/>
          <w:i/>
          <w:color w:val="000000" w:themeColor="text1"/>
        </w:rPr>
        <w:t>”</w:t>
      </w:r>
    </w:p>
    <w:p w:rsidR="003D1DF8" w:rsidRPr="003D1DF8" w:rsidRDefault="003D1DF8" w:rsidP="00931838">
      <w:pPr>
        <w:spacing w:after="0" w:line="360" w:lineRule="auto"/>
        <w:ind w:left="360"/>
        <w:contextualSpacing/>
        <w:jc w:val="both"/>
        <w:rPr>
          <w:rFonts w:ascii="Palatino Linotype" w:hAnsi="Palatino Linotype"/>
          <w:lang w:val="es-ES_tradnl"/>
        </w:rPr>
      </w:pPr>
    </w:p>
    <w:p w:rsidR="003D1DF8" w:rsidRPr="003D1DF8" w:rsidRDefault="00931838" w:rsidP="006E702D">
      <w:pPr>
        <w:numPr>
          <w:ilvl w:val="0"/>
          <w:numId w:val="2"/>
        </w:numPr>
        <w:spacing w:after="0" w:line="360" w:lineRule="auto"/>
        <w:ind w:left="0" w:firstLine="0"/>
        <w:contextualSpacing/>
        <w:jc w:val="both"/>
        <w:rPr>
          <w:rFonts w:ascii="Palatino Linotype" w:hAnsi="Palatino Linotype"/>
          <w:sz w:val="24"/>
          <w:szCs w:val="24"/>
          <w:lang w:val="es-ES_tradnl"/>
        </w:rPr>
      </w:pPr>
      <w:r>
        <w:rPr>
          <w:rFonts w:ascii="Palatino Linotype" w:eastAsia="Calibri" w:hAnsi="Palatino Linotype" w:cs="Arial"/>
          <w:sz w:val="24"/>
          <w:szCs w:val="24"/>
        </w:rPr>
        <w:t>Como se aprecia</w:t>
      </w:r>
      <w:r w:rsidR="003D1DF8" w:rsidRPr="003D1DF8">
        <w:rPr>
          <w:rFonts w:ascii="Palatino Linotype" w:eastAsia="Calibri" w:hAnsi="Palatino Linotype" w:cs="Arial"/>
          <w:sz w:val="24"/>
          <w:szCs w:val="24"/>
        </w:rPr>
        <w:t>, se especificó que para el caso de que se actualice alguna</w:t>
      </w:r>
      <w:r w:rsidR="003D1DF8" w:rsidRPr="003D1DF8">
        <w:rPr>
          <w:rFonts w:ascii="Palatino Linotype" w:hAnsi="Palatino Linotype"/>
          <w:sz w:val="24"/>
          <w:szCs w:val="24"/>
        </w:rPr>
        <w:t xml:space="preserve"> causal de reserva contemplada en el artículo 140 de la Ley de Transparencia vigente, </w:t>
      </w:r>
      <w:r w:rsidR="003D1DF8" w:rsidRPr="003D1DF8">
        <w:rPr>
          <w:rFonts w:ascii="Palatino Linotype" w:hAnsi="Palatino Linotype"/>
          <w:bCs/>
          <w:sz w:val="24"/>
          <w:szCs w:val="24"/>
        </w:rPr>
        <w:t xml:space="preserve">el Sujeto Obligado </w:t>
      </w:r>
      <w:r w:rsidR="0008192E">
        <w:rPr>
          <w:rFonts w:ascii="Palatino Linotype" w:hAnsi="Palatino Linotype"/>
          <w:bCs/>
          <w:sz w:val="24"/>
          <w:szCs w:val="24"/>
        </w:rPr>
        <w:t xml:space="preserve">deberá </w:t>
      </w:r>
      <w:r w:rsidR="0008192E" w:rsidRPr="0008192E">
        <w:rPr>
          <w:rFonts w:ascii="Palatino Linotype" w:hAnsi="Palatino Linotype"/>
          <w:bCs/>
          <w:sz w:val="24"/>
          <w:szCs w:val="24"/>
        </w:rPr>
        <w:t>elaborar un Acuerdo de Clasificación que apruebe el Comité de Transparencia, en el que funde y motive la clasificación de dicha información como reservada en su totalidad</w:t>
      </w:r>
      <w:r w:rsidR="0008192E">
        <w:rPr>
          <w:rFonts w:ascii="Palatino Linotype" w:hAnsi="Palatino Linotype"/>
          <w:bCs/>
          <w:sz w:val="24"/>
          <w:szCs w:val="24"/>
        </w:rPr>
        <w:t>, contexto con el cual me encuentro en desacuerdo por las consideraciones que expondré en párrafos subsiguientes.</w:t>
      </w:r>
    </w:p>
    <w:p w:rsidR="003D1DF8" w:rsidRPr="003D1DF8" w:rsidRDefault="003D1DF8" w:rsidP="003D1DF8">
      <w:pPr>
        <w:spacing w:after="0" w:line="360" w:lineRule="auto"/>
        <w:ind w:left="360"/>
        <w:contextualSpacing/>
        <w:jc w:val="both"/>
        <w:rPr>
          <w:rFonts w:ascii="Palatino Linotype" w:hAnsi="Palatino Linotype" w:cs="Arial"/>
          <w:bCs/>
          <w:sz w:val="24"/>
          <w:szCs w:val="24"/>
          <w:shd w:val="clear" w:color="auto" w:fill="FFFFFF"/>
        </w:rPr>
      </w:pP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3" w:name="_Toc527994042"/>
      <w:r w:rsidRPr="00877AE6">
        <w:rPr>
          <w:rFonts w:ascii="Palatino Linotype" w:eastAsia="Calibri" w:hAnsi="Palatino Linotype"/>
          <w:b/>
          <w:color w:val="auto"/>
          <w:sz w:val="24"/>
          <w:szCs w:val="24"/>
          <w:lang w:val="es-ES"/>
        </w:rPr>
        <w:t>De los requerimientos planteados en el recurso de revisión.</w:t>
      </w:r>
      <w:bookmarkEnd w:id="3"/>
    </w:p>
    <w:p w:rsidR="001744A9" w:rsidRPr="00877AE6" w:rsidRDefault="001744A9" w:rsidP="001744A9">
      <w:pPr>
        <w:pStyle w:val="Prrafodelista"/>
        <w:rPr>
          <w:rFonts w:ascii="Palatino Linotype" w:eastAsia="Calibri" w:hAnsi="Palatino Linotype" w:cs="Arial"/>
          <w:sz w:val="24"/>
          <w:szCs w:val="24"/>
          <w:lang w:val="es-ES"/>
        </w:rPr>
      </w:pPr>
    </w:p>
    <w:p w:rsidR="00D70E0E" w:rsidRPr="00877AE6" w:rsidRDefault="009C382C" w:rsidP="006E702D">
      <w:pPr>
        <w:numPr>
          <w:ilvl w:val="0"/>
          <w:numId w:val="2"/>
        </w:numPr>
        <w:spacing w:after="0" w:line="360" w:lineRule="auto"/>
        <w:ind w:left="0" w:firstLine="0"/>
        <w:contextualSpacing/>
        <w:jc w:val="both"/>
        <w:rPr>
          <w:rFonts w:ascii="Palatino Linotype" w:eastAsia="Calibri" w:hAnsi="Palatino Linotype" w:cs="Arial"/>
          <w:sz w:val="24"/>
          <w:szCs w:val="24"/>
          <w:lang w:val="es-ES"/>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l</w:t>
      </w:r>
      <w:r w:rsidR="005E26BC">
        <w:rPr>
          <w:rFonts w:ascii="Palatino Linotype" w:eastAsia="Calibri" w:hAnsi="Palatino Linotype" w:cs="Times New Roman"/>
          <w:sz w:val="24"/>
          <w:szCs w:val="24"/>
        </w:rPr>
        <w:t>a</w:t>
      </w:r>
      <w:r w:rsidRPr="00877AE6">
        <w:rPr>
          <w:rFonts w:ascii="Palatino Linotype" w:eastAsia="Calibri" w:hAnsi="Palatino Linotype" w:cs="Times New Roman"/>
          <w:sz w:val="24"/>
          <w:szCs w:val="24"/>
        </w:rPr>
        <w:t xml:space="preserve"> </w:t>
      </w:r>
      <w:r w:rsidR="00931838">
        <w:rPr>
          <w:rFonts w:ascii="Palatino Linotype" w:hAnsi="Palatino Linotype" w:cs="Arial"/>
          <w:szCs w:val="20"/>
        </w:rPr>
        <w:t>Universidad Politécnica del Valle de Toluca</w:t>
      </w:r>
      <w:r w:rsidRPr="00877AE6">
        <w:rPr>
          <w:rFonts w:ascii="Palatino Linotype" w:eastAsia="Calibri" w:hAnsi="Palatino Linotype" w:cs="Times New Roman"/>
          <w:sz w:val="24"/>
          <w:szCs w:val="24"/>
        </w:rPr>
        <w:t>, en dicha</w:t>
      </w:r>
      <w:r w:rsidR="00902FFF" w:rsidRPr="00877AE6">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362134" w:rsidRPr="00877AE6" w:rsidRDefault="005E26BC" w:rsidP="00362134">
      <w:pPr>
        <w:spacing w:before="80" w:after="120"/>
        <w:ind w:left="709" w:right="709"/>
        <w:jc w:val="both"/>
        <w:rPr>
          <w:rFonts w:ascii="Palatino Linotype" w:hAnsi="Palatino Linotype"/>
          <w:sz w:val="24"/>
          <w:szCs w:val="24"/>
        </w:rPr>
      </w:pPr>
      <w:r w:rsidRPr="00877AE6">
        <w:rPr>
          <w:rFonts w:ascii="Palatino Linotype" w:hAnsi="Palatino Linotype" w:cs="Arial"/>
          <w:i/>
          <w:sz w:val="24"/>
          <w:szCs w:val="24"/>
        </w:rPr>
        <w:t xml:space="preserve"> </w:t>
      </w:r>
      <w:r w:rsidR="00362134" w:rsidRPr="00877AE6">
        <w:rPr>
          <w:rFonts w:ascii="Palatino Linotype" w:hAnsi="Palatino Linotype" w:cs="Arial"/>
          <w:i/>
          <w:sz w:val="24"/>
          <w:szCs w:val="24"/>
        </w:rPr>
        <w:t>“</w:t>
      </w:r>
      <w:r w:rsidRPr="005E26BC">
        <w:rPr>
          <w:rFonts w:ascii="Palatino Linotype" w:hAnsi="Palatino Linotype" w:cs="Arial"/>
          <w:i/>
          <w:sz w:val="24"/>
          <w:szCs w:val="24"/>
        </w:rPr>
        <w:t xml:space="preserve">Relación de documentos firmados por la </w:t>
      </w:r>
      <w:proofErr w:type="spellStart"/>
      <w:r w:rsidRPr="005E26BC">
        <w:rPr>
          <w:rFonts w:ascii="Palatino Linotype" w:hAnsi="Palatino Linotype" w:cs="Arial"/>
          <w:i/>
          <w:sz w:val="24"/>
          <w:szCs w:val="24"/>
        </w:rPr>
        <w:t>Sra</w:t>
      </w:r>
      <w:proofErr w:type="spellEnd"/>
      <w:r w:rsidRPr="005E26BC">
        <w:rPr>
          <w:rFonts w:ascii="Palatino Linotype" w:hAnsi="Palatino Linotype" w:cs="Arial"/>
          <w:i/>
          <w:sz w:val="24"/>
          <w:szCs w:val="24"/>
        </w:rPr>
        <w:t xml:space="preserve"> </w:t>
      </w:r>
      <w:proofErr w:type="spellStart"/>
      <w:r w:rsidRPr="005E26BC">
        <w:rPr>
          <w:rFonts w:ascii="Palatino Linotype" w:hAnsi="Palatino Linotype" w:cs="Arial"/>
          <w:i/>
          <w:sz w:val="24"/>
          <w:szCs w:val="24"/>
        </w:rPr>
        <w:t>Manzur</w:t>
      </w:r>
      <w:proofErr w:type="spellEnd"/>
      <w:r w:rsidRPr="005E26BC">
        <w:rPr>
          <w:rFonts w:ascii="Palatino Linotype" w:hAnsi="Palatino Linotype" w:cs="Arial"/>
          <w:i/>
          <w:sz w:val="24"/>
          <w:szCs w:val="24"/>
        </w:rPr>
        <w:t xml:space="preserve"> "</w:t>
      </w:r>
      <w:r w:rsidR="007D2118" w:rsidRPr="007D2118">
        <w:rPr>
          <w:rFonts w:ascii="Palatino Linotype" w:hAnsi="Palatino Linotype" w:cs="Arial"/>
          <w:i/>
          <w:sz w:val="24"/>
          <w:szCs w:val="24"/>
          <w:highlight w:val="black"/>
        </w:rPr>
        <w:t>XXXXX</w:t>
      </w:r>
      <w:r w:rsidRPr="005E26BC">
        <w:rPr>
          <w:rFonts w:ascii="Palatino Linotype" w:hAnsi="Palatino Linotype" w:cs="Arial"/>
          <w:i/>
          <w:sz w:val="24"/>
          <w:szCs w:val="24"/>
        </w:rPr>
        <w:t>" durante su gestión, sean oficios, nombramientos o algo similar</w:t>
      </w:r>
      <w:r w:rsidR="00362134" w:rsidRPr="00877AE6">
        <w:rPr>
          <w:rFonts w:ascii="Palatino Linotype" w:hAnsi="Palatino Linotype" w:cs="Arial"/>
          <w:i/>
          <w:sz w:val="24"/>
          <w:szCs w:val="24"/>
        </w:rPr>
        <w:t xml:space="preserve">” </w:t>
      </w:r>
      <w:r w:rsidR="00362134" w:rsidRPr="00877AE6">
        <w:rPr>
          <w:rFonts w:ascii="Palatino Linotype" w:hAnsi="Palatino Linotype"/>
          <w:sz w:val="24"/>
          <w:szCs w:val="24"/>
        </w:rPr>
        <w:t>(Sic).</w:t>
      </w:r>
    </w:p>
    <w:p w:rsidR="00187610" w:rsidRPr="00877AE6" w:rsidRDefault="00187610" w:rsidP="00A766F3">
      <w:pPr>
        <w:ind w:left="1199" w:right="900"/>
        <w:jc w:val="both"/>
        <w:rPr>
          <w:rFonts w:ascii="Palatino Linotype" w:hAnsi="Palatino Linotype"/>
          <w:i/>
          <w:color w:val="000000"/>
          <w:sz w:val="24"/>
          <w:szCs w:val="24"/>
        </w:rPr>
      </w:pPr>
    </w:p>
    <w:p w:rsidR="00A766F3" w:rsidRDefault="00A766F3"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eastAsia="Calibri" w:hAnsi="Palatino Linotype" w:cs="Arial"/>
          <w:sz w:val="24"/>
          <w:szCs w:val="24"/>
          <w:lang w:val="es-ES"/>
        </w:rPr>
        <w:t>Inconforme</w:t>
      </w:r>
      <w:r w:rsidR="005E26BC">
        <w:rPr>
          <w:rFonts w:ascii="Palatino Linotype" w:eastAsia="Calibri" w:hAnsi="Palatino Linotype" w:cs="Arial"/>
          <w:sz w:val="24"/>
          <w:szCs w:val="24"/>
          <w:lang w:val="es-ES"/>
        </w:rPr>
        <w:t>,</w:t>
      </w:r>
      <w:r w:rsidR="005E26BC">
        <w:rPr>
          <w:rFonts w:ascii="Palatino Linotype" w:hAnsi="Palatino Linotype" w:cs="Arial"/>
          <w:sz w:val="24"/>
          <w:szCs w:val="24"/>
        </w:rPr>
        <w:t xml:space="preserve"> </w:t>
      </w:r>
      <w:r w:rsidRPr="00877AE6">
        <w:rPr>
          <w:rFonts w:ascii="Palatino Linotype" w:hAnsi="Palatino Linotype" w:cs="Arial"/>
          <w:sz w:val="24"/>
          <w:szCs w:val="24"/>
        </w:rPr>
        <w:t>l</w:t>
      </w:r>
      <w:r w:rsidR="005E26BC">
        <w:rPr>
          <w:rFonts w:ascii="Palatino Linotype" w:hAnsi="Palatino Linotype" w:cs="Arial"/>
          <w:sz w:val="24"/>
          <w:szCs w:val="24"/>
        </w:rPr>
        <w:t>a</w:t>
      </w:r>
      <w:r w:rsidRPr="00877AE6">
        <w:rPr>
          <w:rFonts w:ascii="Palatino Linotype" w:hAnsi="Palatino Linotype" w:cs="Arial"/>
          <w:sz w:val="24"/>
          <w:szCs w:val="24"/>
        </w:rPr>
        <w:t xml:space="preserve"> solicitante con la respuesta por </w:t>
      </w:r>
      <w:r w:rsidR="00362134" w:rsidRPr="00877AE6">
        <w:rPr>
          <w:rFonts w:ascii="Palatino Linotype" w:hAnsi="Palatino Linotype" w:cs="Arial"/>
          <w:sz w:val="24"/>
          <w:szCs w:val="24"/>
        </w:rPr>
        <w:t>parte d</w:t>
      </w:r>
      <w:r w:rsidRPr="00877AE6">
        <w:rPr>
          <w:rFonts w:ascii="Palatino Linotype" w:hAnsi="Palatino Linotype" w:cs="Arial"/>
          <w:sz w:val="24"/>
          <w:szCs w:val="24"/>
        </w:rPr>
        <w:t xml:space="preserve">el </w:t>
      </w:r>
      <w:r w:rsidRPr="004E1262">
        <w:rPr>
          <w:rFonts w:ascii="Palatino Linotype" w:hAnsi="Palatino Linotype" w:cs="Arial"/>
          <w:sz w:val="24"/>
          <w:szCs w:val="24"/>
        </w:rPr>
        <w:t>Sujeto Obligado</w:t>
      </w:r>
      <w:r w:rsidR="00362134" w:rsidRPr="004E1262">
        <w:rPr>
          <w:rFonts w:ascii="Palatino Linotype" w:hAnsi="Palatino Linotype" w:cs="Arial"/>
          <w:sz w:val="24"/>
          <w:szCs w:val="24"/>
        </w:rPr>
        <w:t>,</w:t>
      </w:r>
      <w:r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Pr="00877AE6">
        <w:rPr>
          <w:rFonts w:ascii="Palatino Linotype" w:hAnsi="Palatino Linotype" w:cs="Arial"/>
          <w:sz w:val="24"/>
          <w:szCs w:val="24"/>
        </w:rPr>
        <w:t xml:space="preserve">recursos de revisión </w:t>
      </w:r>
      <w:r w:rsidR="00362134" w:rsidRPr="00877AE6">
        <w:rPr>
          <w:rFonts w:ascii="Palatino Linotype" w:hAnsi="Palatino Linotype" w:cs="Arial"/>
          <w:sz w:val="24"/>
          <w:szCs w:val="24"/>
        </w:rPr>
        <w:t xml:space="preserve">respectivo a través del SAIMEX en fecha </w:t>
      </w:r>
      <w:r w:rsidR="00303F41">
        <w:rPr>
          <w:rFonts w:ascii="Palatino Linotype" w:hAnsi="Palatino Linotype" w:cs="Arial"/>
          <w:sz w:val="24"/>
          <w:szCs w:val="24"/>
        </w:rPr>
        <w:t>veintisiete</w:t>
      </w:r>
      <w:r w:rsidR="004E1262">
        <w:rPr>
          <w:rFonts w:ascii="Palatino Linotype" w:hAnsi="Palatino Linotype" w:cs="Arial"/>
          <w:sz w:val="24"/>
          <w:szCs w:val="24"/>
        </w:rPr>
        <w:t xml:space="preserve"> </w:t>
      </w:r>
      <w:r w:rsidR="00362134" w:rsidRPr="00877AE6">
        <w:rPr>
          <w:rFonts w:ascii="Palatino Linotype" w:hAnsi="Palatino Linotype" w:cs="Arial"/>
          <w:sz w:val="24"/>
          <w:szCs w:val="24"/>
        </w:rPr>
        <w:t>(</w:t>
      </w:r>
      <w:r w:rsidR="004E1262">
        <w:rPr>
          <w:rFonts w:ascii="Palatino Linotype" w:hAnsi="Palatino Linotype" w:cs="Arial"/>
          <w:sz w:val="24"/>
          <w:szCs w:val="24"/>
        </w:rPr>
        <w:t>2</w:t>
      </w:r>
      <w:r w:rsidR="00303F41">
        <w:rPr>
          <w:rFonts w:ascii="Palatino Linotype" w:hAnsi="Palatino Linotype" w:cs="Arial"/>
          <w:sz w:val="24"/>
          <w:szCs w:val="24"/>
        </w:rPr>
        <w:t>7</w:t>
      </w:r>
      <w:r w:rsidR="00362134" w:rsidRPr="00877AE6">
        <w:rPr>
          <w:rFonts w:ascii="Palatino Linotype" w:hAnsi="Palatino Linotype" w:cs="Arial"/>
          <w:sz w:val="24"/>
          <w:szCs w:val="24"/>
        </w:rPr>
        <w:t>)</w:t>
      </w:r>
      <w:r w:rsidRPr="00877AE6">
        <w:rPr>
          <w:rFonts w:ascii="Palatino Linotype" w:hAnsi="Palatino Linotype" w:cs="Arial"/>
          <w:sz w:val="24"/>
          <w:szCs w:val="24"/>
        </w:rPr>
        <w:t xml:space="preserve"> de </w:t>
      </w:r>
      <w:r w:rsidR="00303F41">
        <w:rPr>
          <w:rFonts w:ascii="Palatino Linotype" w:hAnsi="Palatino Linotype" w:cs="Arial"/>
          <w:sz w:val="24"/>
          <w:szCs w:val="24"/>
        </w:rPr>
        <w:t>noviem</w:t>
      </w:r>
      <w:r w:rsidR="004505EE" w:rsidRPr="00877AE6">
        <w:rPr>
          <w:rFonts w:ascii="Palatino Linotype" w:hAnsi="Palatino Linotype" w:cs="Arial"/>
          <w:sz w:val="24"/>
          <w:szCs w:val="24"/>
        </w:rPr>
        <w:t>bre</w:t>
      </w:r>
      <w:r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dieciocho, a través del</w:t>
      </w:r>
      <w:r w:rsidRPr="00877AE6">
        <w:rPr>
          <w:rFonts w:ascii="Palatino Linotype" w:hAnsi="Palatino Linotype" w:cs="Arial"/>
          <w:sz w:val="24"/>
          <w:szCs w:val="24"/>
        </w:rPr>
        <w:t xml:space="preserve"> cual expresó lo siguiente:</w:t>
      </w: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lastRenderedPageBreak/>
        <w:t>a) Acto impugnado.</w:t>
      </w:r>
    </w:p>
    <w:p w:rsidR="00362134" w:rsidRPr="00877AE6" w:rsidRDefault="00A766F3" w:rsidP="00A13BDF">
      <w:pPr>
        <w:spacing w:before="200" w:after="200"/>
        <w:ind w:left="709" w:right="709"/>
        <w:jc w:val="both"/>
        <w:rPr>
          <w:rFonts w:ascii="Palatino Linotype" w:hAnsi="Palatino Linotype" w:cs="Arial"/>
          <w:sz w:val="24"/>
          <w:szCs w:val="24"/>
          <w:lang w:eastAsia="es-MX"/>
        </w:rPr>
      </w:pPr>
      <w:r w:rsidRPr="00877AE6">
        <w:rPr>
          <w:rFonts w:ascii="Palatino Linotype" w:hAnsi="Palatino Linotype"/>
          <w:i/>
          <w:color w:val="000000"/>
          <w:sz w:val="24"/>
          <w:szCs w:val="24"/>
        </w:rPr>
        <w:t>“</w:t>
      </w:r>
      <w:r w:rsidR="00303F41" w:rsidRPr="00303F41">
        <w:rPr>
          <w:rFonts w:ascii="Palatino Linotype" w:hAnsi="Palatino Linotype" w:cs="Arial"/>
          <w:i/>
          <w:sz w:val="24"/>
          <w:szCs w:val="24"/>
          <w:lang w:eastAsia="es-MX"/>
        </w:rPr>
        <w:t>Niegan la información</w:t>
      </w:r>
      <w:r w:rsidR="00362134" w:rsidRPr="00877AE6">
        <w:rPr>
          <w:rFonts w:ascii="Palatino Linotype" w:hAnsi="Palatino Linotype" w:cs="Arial"/>
          <w:i/>
          <w:sz w:val="24"/>
          <w:szCs w:val="24"/>
          <w:lang w:eastAsia="es-MX"/>
        </w:rPr>
        <w:t xml:space="preserve">” </w:t>
      </w:r>
      <w:r w:rsidR="00362134" w:rsidRPr="00877AE6">
        <w:rPr>
          <w:rFonts w:ascii="Palatino Linotype" w:hAnsi="Palatino Linotype" w:cs="Arial"/>
          <w:sz w:val="24"/>
          <w:szCs w:val="24"/>
          <w:lang w:eastAsia="es-MX"/>
        </w:rPr>
        <w:t>(Sic)</w:t>
      </w:r>
    </w:p>
    <w:p w:rsidR="00362134" w:rsidRPr="00877AE6" w:rsidRDefault="00362134" w:rsidP="00A13BDF">
      <w:pPr>
        <w:spacing w:line="360" w:lineRule="auto"/>
        <w:ind w:left="709"/>
        <w:jc w:val="both"/>
        <w:rPr>
          <w:rFonts w:ascii="Palatino Linotype" w:hAnsi="Palatino Linotype" w:cs="Arial"/>
          <w:b/>
          <w:sz w:val="24"/>
          <w:szCs w:val="24"/>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877AE6" w:rsidRDefault="00362134" w:rsidP="00A13BDF">
      <w:pPr>
        <w:spacing w:before="200" w:after="200"/>
        <w:ind w:left="709" w:right="709"/>
        <w:jc w:val="both"/>
        <w:rPr>
          <w:rFonts w:ascii="Palatino Linotype" w:hAnsi="Palatino Linotype" w:cs="Arial"/>
          <w:spacing w:val="-6"/>
          <w:sz w:val="24"/>
          <w:szCs w:val="24"/>
          <w:lang w:eastAsia="es-MX"/>
        </w:rPr>
      </w:pPr>
      <w:r w:rsidRPr="00877AE6">
        <w:rPr>
          <w:rFonts w:ascii="Palatino Linotype" w:hAnsi="Palatino Linotype" w:cs="Arial"/>
          <w:i/>
          <w:spacing w:val="-6"/>
          <w:sz w:val="24"/>
          <w:szCs w:val="24"/>
          <w:lang w:eastAsia="es-MX"/>
        </w:rPr>
        <w:t>“</w:t>
      </w:r>
      <w:r w:rsidR="00303F41" w:rsidRPr="00303F41">
        <w:rPr>
          <w:rFonts w:ascii="Palatino Linotype" w:hAnsi="Palatino Linotype" w:cs="Arial"/>
          <w:i/>
          <w:sz w:val="24"/>
          <w:szCs w:val="24"/>
          <w:lang w:eastAsia="es-MX"/>
        </w:rPr>
        <w:t>Niegan la información cuando son documentos oficiales y se escudan en cobrar</w:t>
      </w:r>
      <w:r w:rsidRPr="00877AE6">
        <w:rPr>
          <w:rFonts w:ascii="Palatino Linotype" w:hAnsi="Palatino Linotype" w:cs="Arial"/>
          <w:i/>
          <w:sz w:val="24"/>
          <w:szCs w:val="24"/>
          <w:lang w:eastAsia="es-MX"/>
        </w:rPr>
        <w:t>”</w:t>
      </w:r>
      <w:r w:rsidRPr="00877AE6">
        <w:rPr>
          <w:rFonts w:ascii="Palatino Linotype" w:hAnsi="Palatino Linotype" w:cs="Arial"/>
          <w:i/>
          <w:spacing w:val="-6"/>
          <w:sz w:val="24"/>
          <w:szCs w:val="24"/>
          <w:lang w:eastAsia="es-MX"/>
        </w:rPr>
        <w:t xml:space="preserve"> </w:t>
      </w:r>
      <w:r w:rsidRPr="00877AE6">
        <w:rPr>
          <w:rFonts w:ascii="Palatino Linotype" w:hAnsi="Palatino Linotype" w:cs="Arial"/>
          <w:spacing w:val="-6"/>
          <w:sz w:val="24"/>
          <w:szCs w:val="24"/>
          <w:lang w:eastAsia="es-MX"/>
        </w:rPr>
        <w:t>(Sic)</w:t>
      </w:r>
    </w:p>
    <w:p w:rsidR="004E1262" w:rsidRPr="004E1262" w:rsidRDefault="004E1262" w:rsidP="004E1262">
      <w:pPr>
        <w:pStyle w:val="Prrafodelista"/>
        <w:spacing w:after="0" w:line="360" w:lineRule="auto"/>
        <w:ind w:left="360"/>
        <w:jc w:val="both"/>
        <w:rPr>
          <w:rFonts w:ascii="Palatino Linotype" w:eastAsia="Calibri" w:hAnsi="Palatino Linotype" w:cs="Arial"/>
          <w:sz w:val="24"/>
          <w:szCs w:val="24"/>
        </w:rPr>
      </w:pPr>
    </w:p>
    <w:p w:rsidR="000F1AD8" w:rsidRPr="00877AE6" w:rsidRDefault="00A7073D" w:rsidP="006E702D">
      <w:pPr>
        <w:numPr>
          <w:ilvl w:val="0"/>
          <w:numId w:val="2"/>
        </w:numPr>
        <w:spacing w:after="0" w:line="360" w:lineRule="auto"/>
        <w:ind w:left="0" w:firstLine="0"/>
        <w:contextualSpacing/>
        <w:jc w:val="both"/>
        <w:rPr>
          <w:rFonts w:ascii="Palatino Linotype" w:eastAsia="Calibri" w:hAnsi="Palatino Linotype" w:cs="Arial"/>
          <w:sz w:val="24"/>
          <w:szCs w:val="24"/>
        </w:rPr>
      </w:pPr>
      <w:r w:rsidRPr="00877AE6">
        <w:rPr>
          <w:rFonts w:ascii="Palatino Linotype" w:hAnsi="Palatino Linotype" w:cs="Arial"/>
          <w:sz w:val="24"/>
          <w:szCs w:val="24"/>
        </w:rPr>
        <w:t>Bajo esas consideraciones, se advirtió que los motivos aduc</w:t>
      </w:r>
      <w:r w:rsidR="00630750" w:rsidRPr="00877AE6">
        <w:rPr>
          <w:rFonts w:ascii="Palatino Linotype" w:hAnsi="Palatino Linotype" w:cs="Arial"/>
          <w:sz w:val="24"/>
          <w:szCs w:val="24"/>
        </w:rPr>
        <w:t>idos por el recurrente, resultaban</w:t>
      </w:r>
      <w:r w:rsidRPr="00877AE6">
        <w:rPr>
          <w:rFonts w:ascii="Palatino Linotype" w:hAnsi="Palatino Linotype" w:cs="Arial"/>
          <w:sz w:val="24"/>
          <w:szCs w:val="24"/>
        </w:rPr>
        <w:t xml:space="preserve"> fundados pues efectivamente transcurrió el plazo para dar respuesta determinado por la Ley de la Materia, por lo que </w:t>
      </w:r>
      <w:r w:rsidR="00362134" w:rsidRPr="00877AE6">
        <w:rPr>
          <w:rFonts w:ascii="Palatino Linotype" w:hAnsi="Palatino Linotype" w:cs="Arial"/>
          <w:sz w:val="24"/>
          <w:szCs w:val="24"/>
        </w:rPr>
        <w:t xml:space="preserve">la Ponencia </w:t>
      </w:r>
      <w:proofErr w:type="spellStart"/>
      <w:r w:rsidR="00362134" w:rsidRPr="00877AE6">
        <w:rPr>
          <w:rFonts w:ascii="Palatino Linotype" w:hAnsi="Palatino Linotype" w:cs="Arial"/>
          <w:sz w:val="24"/>
          <w:szCs w:val="24"/>
        </w:rPr>
        <w:t>R</w:t>
      </w:r>
      <w:r w:rsidR="008C2121" w:rsidRPr="00877AE6">
        <w:rPr>
          <w:rFonts w:ascii="Palatino Linotype" w:hAnsi="Palatino Linotype" w:cs="Arial"/>
          <w:sz w:val="24"/>
          <w:szCs w:val="24"/>
        </w:rPr>
        <w:t>esolutora</w:t>
      </w:r>
      <w:proofErr w:type="spellEnd"/>
      <w:r w:rsidR="008C2121" w:rsidRPr="00877AE6">
        <w:rPr>
          <w:rFonts w:ascii="Palatino Linotype" w:hAnsi="Palatino Linotype" w:cs="Arial"/>
          <w:sz w:val="24"/>
          <w:szCs w:val="24"/>
        </w:rPr>
        <w:t xml:space="preserve"> </w:t>
      </w:r>
      <w:r w:rsidR="000F1AD8" w:rsidRPr="00877AE6">
        <w:rPr>
          <w:rFonts w:ascii="Palatino Linotype" w:hAnsi="Palatino Linotype" w:cs="Arial"/>
          <w:sz w:val="24"/>
          <w:szCs w:val="24"/>
        </w:rPr>
        <w:t>procedió al análisis del recurso</w:t>
      </w:r>
      <w:r w:rsidRPr="00877AE6">
        <w:rPr>
          <w:rFonts w:ascii="Palatino Linotype" w:hAnsi="Palatino Linotype" w:cs="Arial"/>
          <w:sz w:val="24"/>
          <w:szCs w:val="24"/>
        </w:rPr>
        <w:t xml:space="preserve"> de revisión</w:t>
      </w:r>
      <w:r w:rsidR="000F1AD8" w:rsidRPr="00877AE6">
        <w:rPr>
          <w:rFonts w:ascii="Palatino Linotype" w:hAnsi="Palatino Linotype" w:cs="Arial"/>
          <w:sz w:val="24"/>
          <w:szCs w:val="24"/>
        </w:rPr>
        <w:t>.</w:t>
      </w:r>
    </w:p>
    <w:p w:rsidR="00877AE6" w:rsidRDefault="00877AE6" w:rsidP="00877AE6">
      <w:pPr>
        <w:pStyle w:val="Prrafodelista"/>
        <w:spacing w:after="0" w:line="360" w:lineRule="auto"/>
        <w:ind w:left="360"/>
        <w:jc w:val="both"/>
        <w:rPr>
          <w:rFonts w:ascii="Palatino Linotype" w:eastAsia="Calibri" w:hAnsi="Palatino Linotype" w:cs="Arial"/>
          <w:sz w:val="24"/>
          <w:szCs w:val="24"/>
        </w:rPr>
      </w:pPr>
    </w:p>
    <w:p w:rsidR="006E702D" w:rsidRPr="00877AE6" w:rsidRDefault="006E702D" w:rsidP="00877AE6">
      <w:pPr>
        <w:pStyle w:val="Prrafodelista"/>
        <w:spacing w:after="0" w:line="360" w:lineRule="auto"/>
        <w:ind w:left="360"/>
        <w:jc w:val="both"/>
        <w:rPr>
          <w:rFonts w:ascii="Palatino Linotype" w:eastAsia="Calibri" w:hAnsi="Palatino Linotype" w:cs="Arial"/>
          <w:sz w:val="24"/>
          <w:szCs w:val="24"/>
        </w:rPr>
      </w:pPr>
    </w:p>
    <w:p w:rsidR="00877AE6" w:rsidRDefault="00877AE6" w:rsidP="00877AE6">
      <w:pPr>
        <w:pStyle w:val="Ttulo1"/>
        <w:rPr>
          <w:rFonts w:ascii="Palatino Linotype" w:hAnsi="Palatino Linotype"/>
          <w:b/>
          <w:color w:val="000000" w:themeColor="text1"/>
          <w:sz w:val="24"/>
          <w:szCs w:val="24"/>
        </w:rPr>
      </w:pPr>
      <w:bookmarkStart w:id="4" w:name="_Toc527994043"/>
      <w:r w:rsidRPr="00877AE6">
        <w:rPr>
          <w:rFonts w:ascii="Palatino Linotype" w:hAnsi="Palatino Linotype"/>
          <w:b/>
          <w:color w:val="000000" w:themeColor="text1"/>
          <w:sz w:val="24"/>
          <w:szCs w:val="24"/>
        </w:rPr>
        <w:t>De la respuesta del Sujeto Obligado.</w:t>
      </w:r>
      <w:bookmarkEnd w:id="4"/>
    </w:p>
    <w:p w:rsidR="006E702D" w:rsidRPr="006E702D" w:rsidRDefault="006E702D" w:rsidP="006E702D"/>
    <w:p w:rsidR="009760F0" w:rsidRPr="009760F0" w:rsidRDefault="00877AE6" w:rsidP="006E702D">
      <w:pPr>
        <w:numPr>
          <w:ilvl w:val="0"/>
          <w:numId w:val="2"/>
        </w:numPr>
        <w:spacing w:after="0" w:line="360" w:lineRule="auto"/>
        <w:ind w:left="0" w:firstLine="0"/>
        <w:contextualSpacing/>
        <w:jc w:val="both"/>
        <w:rPr>
          <w:rFonts w:ascii="Palatino Linotype" w:hAnsi="Palatino Linotype" w:cs="Arial"/>
          <w:i/>
          <w:sz w:val="24"/>
          <w:szCs w:val="24"/>
        </w:rPr>
      </w:pPr>
      <w:r w:rsidRPr="004E1262">
        <w:rPr>
          <w:rFonts w:ascii="Palatino Linotype" w:hAnsi="Palatino Linotype" w:cs="Arial"/>
          <w:sz w:val="24"/>
          <w:szCs w:val="24"/>
        </w:rPr>
        <w:t>Como</w:t>
      </w:r>
      <w:r w:rsidRPr="004E1262">
        <w:rPr>
          <w:rFonts w:ascii="Palatino Linotype" w:hAnsi="Palatino Linotype" w:cs="Arial"/>
          <w:color w:val="000000"/>
          <w:sz w:val="24"/>
          <w:szCs w:val="24"/>
        </w:rPr>
        <w:t xml:space="preserve"> ya fue precisado,</w:t>
      </w:r>
      <w:r w:rsidRPr="004E1262">
        <w:rPr>
          <w:rFonts w:ascii="Palatino Linotype" w:hAnsi="Palatino Linotype" w:cs="Arial"/>
          <w:sz w:val="24"/>
          <w:szCs w:val="24"/>
        </w:rPr>
        <w:t xml:space="preserve"> el Sujeto </w:t>
      </w:r>
      <w:r w:rsidRPr="009760F0">
        <w:rPr>
          <w:rFonts w:ascii="Palatino Linotype" w:hAnsi="Palatino Linotype" w:cs="Arial"/>
          <w:sz w:val="24"/>
          <w:szCs w:val="24"/>
        </w:rPr>
        <w:t xml:space="preserve">Obligado </w:t>
      </w:r>
      <w:r w:rsidR="00303F41" w:rsidRPr="009760F0">
        <w:rPr>
          <w:rFonts w:ascii="Palatino Linotype" w:hAnsi="Palatino Linotype" w:cs="Arial"/>
          <w:sz w:val="24"/>
          <w:szCs w:val="24"/>
        </w:rPr>
        <w:t>requirió un previo pago para proceder a la entrega de la información solicitada.</w:t>
      </w:r>
      <w:r w:rsidR="009760F0" w:rsidRPr="009760F0">
        <w:rPr>
          <w:rFonts w:ascii="Palatino Linotype" w:hAnsi="Palatino Linotype" w:cs="Arial"/>
          <w:sz w:val="24"/>
          <w:szCs w:val="24"/>
        </w:rPr>
        <w:t xml:space="preserve"> </w:t>
      </w:r>
      <w:r w:rsidR="009760F0" w:rsidRPr="009760F0">
        <w:rPr>
          <w:rFonts w:ascii="Palatino Linotype" w:eastAsiaTheme="minorEastAsia" w:hAnsi="Palatino Linotype" w:cs="Arial"/>
          <w:sz w:val="24"/>
          <w:szCs w:val="24"/>
          <w:lang w:val="es-ES_tradnl"/>
        </w:rPr>
        <w:t xml:space="preserve">Agregando que, una vez realizado el pago correspondiente, la particular debía enviar el comprobante de pago, vía correo electrónico a la Unidad de Transparencia de la Universidad o, a través del </w:t>
      </w:r>
      <w:r w:rsidR="009760F0" w:rsidRPr="009760F0">
        <w:rPr>
          <w:rFonts w:ascii="Palatino Linotype" w:eastAsiaTheme="minorEastAsia" w:hAnsi="Palatino Linotype" w:cs="Arial"/>
          <w:b/>
          <w:sz w:val="24"/>
          <w:szCs w:val="24"/>
          <w:lang w:val="es-ES_tradnl"/>
        </w:rPr>
        <w:t>SAIMEX</w:t>
      </w:r>
      <w:r w:rsidR="009760F0" w:rsidRPr="009760F0">
        <w:rPr>
          <w:rFonts w:ascii="Palatino Linotype" w:eastAsiaTheme="minorEastAsia" w:hAnsi="Palatino Linotype" w:cs="Arial"/>
          <w:sz w:val="24"/>
          <w:szCs w:val="24"/>
          <w:lang w:val="es-ES_tradnl"/>
        </w:rPr>
        <w:t xml:space="preserve">, además refirió que, la entrega de la información implicaba un procesamiento, es decir, </w:t>
      </w:r>
      <w:r w:rsidR="009760F0">
        <w:rPr>
          <w:rFonts w:ascii="Palatino Linotype" w:eastAsiaTheme="minorEastAsia" w:hAnsi="Palatino Linotype" w:cs="Arial"/>
          <w:sz w:val="24"/>
          <w:szCs w:val="24"/>
          <w:lang w:val="es-ES_tradnl"/>
        </w:rPr>
        <w:t>e</w:t>
      </w:r>
      <w:r w:rsidR="009760F0" w:rsidRPr="009760F0">
        <w:rPr>
          <w:rFonts w:ascii="Palatino Linotype" w:eastAsiaTheme="minorEastAsia" w:hAnsi="Palatino Linotype" w:cs="Arial"/>
          <w:sz w:val="24"/>
          <w:szCs w:val="24"/>
          <w:lang w:val="es-ES_tradnl"/>
        </w:rPr>
        <w:t>l Sujeto Obligado</w:t>
      </w:r>
      <w:r w:rsidR="009760F0" w:rsidRPr="009760F0">
        <w:rPr>
          <w:rFonts w:ascii="Palatino Linotype" w:eastAsiaTheme="minorEastAsia" w:hAnsi="Palatino Linotype" w:cs="Arial"/>
          <w:b/>
          <w:sz w:val="24"/>
          <w:szCs w:val="24"/>
          <w:lang w:val="es-ES_tradnl"/>
        </w:rPr>
        <w:t xml:space="preserve"> </w:t>
      </w:r>
      <w:r w:rsidR="009760F0" w:rsidRPr="009760F0">
        <w:rPr>
          <w:rFonts w:ascii="Palatino Linotype" w:eastAsiaTheme="minorEastAsia" w:hAnsi="Palatino Linotype" w:cs="Arial"/>
          <w:sz w:val="24"/>
          <w:szCs w:val="24"/>
          <w:lang w:val="es-ES_tradnl"/>
        </w:rPr>
        <w:t xml:space="preserve">debía verificar que no se encuentre en </w:t>
      </w:r>
      <w:r w:rsidR="009760F0" w:rsidRPr="009760F0">
        <w:rPr>
          <w:rFonts w:ascii="Palatino Linotype" w:eastAsiaTheme="minorEastAsia" w:hAnsi="Palatino Linotype" w:cs="Arial"/>
          <w:sz w:val="24"/>
          <w:szCs w:val="24"/>
          <w:lang w:val="es-ES_tradnl"/>
        </w:rPr>
        <w:lastRenderedPageBreak/>
        <w:t>los supuestos de clasificación, ya que ello significaba tramitar el Acuerdo de clasificación correspondiente</w:t>
      </w:r>
    </w:p>
    <w:p w:rsidR="009760F0" w:rsidRPr="009760F0" w:rsidRDefault="009760F0" w:rsidP="009760F0">
      <w:pPr>
        <w:pStyle w:val="Prrafodelista"/>
        <w:spacing w:after="0" w:line="360" w:lineRule="auto"/>
        <w:ind w:left="360"/>
        <w:jc w:val="both"/>
        <w:rPr>
          <w:rFonts w:ascii="Palatino Linotype" w:hAnsi="Palatino Linotype" w:cs="Arial"/>
          <w:sz w:val="24"/>
          <w:szCs w:val="24"/>
        </w:rPr>
      </w:pPr>
    </w:p>
    <w:p w:rsidR="009760F0" w:rsidRPr="009760F0" w:rsidRDefault="009760F0" w:rsidP="006E702D">
      <w:pPr>
        <w:numPr>
          <w:ilvl w:val="0"/>
          <w:numId w:val="2"/>
        </w:numPr>
        <w:spacing w:after="0" w:line="360" w:lineRule="auto"/>
        <w:ind w:left="0" w:firstLine="0"/>
        <w:contextualSpacing/>
        <w:jc w:val="both"/>
        <w:rPr>
          <w:rFonts w:ascii="Palatino Linotype" w:hAnsi="Palatino Linotype" w:cs="Arial"/>
          <w:i/>
          <w:sz w:val="24"/>
          <w:szCs w:val="24"/>
        </w:rPr>
      </w:pPr>
      <w:r w:rsidRPr="009760F0">
        <w:rPr>
          <w:rFonts w:ascii="Palatino Linotype" w:hAnsi="Palatino Linotype" w:cs="Arial"/>
          <w:sz w:val="24"/>
          <w:szCs w:val="24"/>
        </w:rPr>
        <w:t xml:space="preserve">De modo tal, que la Ponencia </w:t>
      </w:r>
      <w:proofErr w:type="spellStart"/>
      <w:r w:rsidRPr="009760F0">
        <w:rPr>
          <w:rFonts w:ascii="Palatino Linotype" w:hAnsi="Palatino Linotype" w:cs="Arial"/>
          <w:sz w:val="24"/>
          <w:szCs w:val="24"/>
        </w:rPr>
        <w:t>resolutora</w:t>
      </w:r>
      <w:proofErr w:type="spellEnd"/>
      <w:r w:rsidRPr="009760F0">
        <w:rPr>
          <w:rFonts w:ascii="Palatino Linotype" w:hAnsi="Palatino Linotype" w:cs="Arial"/>
          <w:sz w:val="24"/>
          <w:szCs w:val="24"/>
        </w:rPr>
        <w:t xml:space="preserve"> obvi</w:t>
      </w:r>
      <w:r>
        <w:rPr>
          <w:rFonts w:ascii="Palatino Linotype" w:hAnsi="Palatino Linotype" w:cs="Arial"/>
          <w:sz w:val="24"/>
          <w:szCs w:val="24"/>
        </w:rPr>
        <w:t>o</w:t>
      </w:r>
      <w:r w:rsidRPr="009760F0">
        <w:rPr>
          <w:rFonts w:ascii="Palatino Linotype" w:hAnsi="Palatino Linotype" w:cs="Arial"/>
          <w:sz w:val="24"/>
          <w:szCs w:val="24"/>
        </w:rPr>
        <w:t xml:space="preserve"> el análisis de la competencia por parte del</w:t>
      </w:r>
      <w:r w:rsidRPr="009760F0">
        <w:rPr>
          <w:rFonts w:ascii="Palatino Linotype" w:hAnsi="Palatino Linotype" w:cs="Arial"/>
          <w:b/>
          <w:sz w:val="24"/>
          <w:szCs w:val="24"/>
        </w:rPr>
        <w:t xml:space="preserve"> </w:t>
      </w:r>
      <w:r w:rsidRPr="009760F0">
        <w:rPr>
          <w:rFonts w:ascii="Palatino Linotype" w:hAnsi="Palatino Linotype" w:cs="Arial"/>
          <w:sz w:val="24"/>
          <w:szCs w:val="24"/>
        </w:rPr>
        <w:t xml:space="preserve">Sujeto Obligado, </w:t>
      </w:r>
      <w:r w:rsidRPr="009760F0">
        <w:rPr>
          <w:rFonts w:ascii="Palatino Linotype" w:hAnsi="Palatino Linotype"/>
          <w:sz w:val="24"/>
          <w:szCs w:val="24"/>
        </w:rPr>
        <w:t xml:space="preserve">para generar, administrar o poseer la información solicitada, </w:t>
      </w:r>
      <w:r w:rsidRPr="009760F0">
        <w:rPr>
          <w:rFonts w:ascii="Palatino Linotype" w:hAnsi="Palatino Linotype" w:cs="Arial"/>
          <w:sz w:val="24"/>
          <w:szCs w:val="24"/>
        </w:rPr>
        <w:t>dado que éste ha</w:t>
      </w:r>
      <w:r>
        <w:rPr>
          <w:rFonts w:ascii="Palatino Linotype" w:hAnsi="Palatino Linotype" w:cs="Arial"/>
          <w:sz w:val="24"/>
          <w:szCs w:val="24"/>
        </w:rPr>
        <w:t>bía</w:t>
      </w:r>
      <w:r w:rsidRPr="009760F0">
        <w:rPr>
          <w:rFonts w:ascii="Palatino Linotype" w:hAnsi="Palatino Linotype" w:cs="Arial"/>
          <w:sz w:val="24"/>
          <w:szCs w:val="24"/>
        </w:rPr>
        <w:t xml:space="preserve"> </w:t>
      </w:r>
      <w:r w:rsidRPr="009760F0">
        <w:rPr>
          <w:rFonts w:ascii="Palatino Linotype" w:hAnsi="Palatino Linotype" w:cs="Arial"/>
          <w:color w:val="000000"/>
          <w:sz w:val="24"/>
          <w:szCs w:val="24"/>
        </w:rPr>
        <w:t>asumido</w:t>
      </w:r>
      <w:r w:rsidRPr="009760F0">
        <w:rPr>
          <w:rFonts w:ascii="Palatino Linotype" w:hAnsi="Palatino Linotype" w:cs="Arial"/>
          <w:sz w:val="24"/>
          <w:szCs w:val="24"/>
        </w:rPr>
        <w:t xml:space="preserve"> la misma, </w:t>
      </w:r>
      <w:r w:rsidRPr="009760F0">
        <w:rPr>
          <w:rFonts w:ascii="Palatino Linotype" w:hAnsi="Palatino Linotype"/>
          <w:sz w:val="24"/>
          <w:szCs w:val="24"/>
        </w:rPr>
        <w:t>en razón de que mediante su respuesta refirió que requería el pago por el procesamiento y digitalización de la información para que previa acreditación del mismo se hiciera entrega de lo requerido vía SAIMEX</w:t>
      </w:r>
      <w:r>
        <w:rPr>
          <w:rFonts w:ascii="Palatino Linotype" w:hAnsi="Palatino Linotype"/>
          <w:sz w:val="24"/>
          <w:szCs w:val="24"/>
        </w:rPr>
        <w:t>.</w:t>
      </w:r>
    </w:p>
    <w:p w:rsidR="009760F0" w:rsidRPr="009760F0" w:rsidRDefault="009760F0" w:rsidP="009760F0">
      <w:pPr>
        <w:pStyle w:val="Prrafodelista"/>
        <w:rPr>
          <w:rFonts w:ascii="Palatino Linotype" w:hAnsi="Palatino Linotype" w:cs="Arial"/>
          <w:sz w:val="24"/>
          <w:szCs w:val="24"/>
        </w:rPr>
      </w:pPr>
    </w:p>
    <w:p w:rsidR="00877AE6" w:rsidRPr="00877AE6" w:rsidRDefault="009760F0" w:rsidP="006E702D">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t>Con relación a ello</w:t>
      </w:r>
      <w:r w:rsidR="00877AE6" w:rsidRPr="00877AE6">
        <w:rPr>
          <w:rFonts w:ascii="Palatino Linotype" w:hAnsi="Palatino Linotype" w:cs="Arial"/>
          <w:sz w:val="24"/>
          <w:szCs w:val="24"/>
        </w:rPr>
        <w:t xml:space="preserve">, es menester señalar que el Instituto Nacional de Transparencia y Acceso a la Información y Protección de Datos Personales, en el expediente RIA 82/18, </w:t>
      </w:r>
      <w:r w:rsidR="00C72591">
        <w:rPr>
          <w:rFonts w:ascii="Palatino Linotype" w:hAnsi="Palatino Linotype" w:cs="Arial"/>
          <w:sz w:val="24"/>
          <w:szCs w:val="24"/>
        </w:rPr>
        <w:t xml:space="preserve">había </w:t>
      </w:r>
      <w:r w:rsidR="00877AE6" w:rsidRPr="00877AE6">
        <w:rPr>
          <w:rFonts w:ascii="Palatino Linotype" w:hAnsi="Palatino Linotype" w:cs="Arial"/>
          <w:sz w:val="24"/>
          <w:szCs w:val="24"/>
        </w:rPr>
        <w:t>establec</w:t>
      </w:r>
      <w:r w:rsidR="00C72591">
        <w:rPr>
          <w:rFonts w:ascii="Palatino Linotype" w:hAnsi="Palatino Linotype" w:cs="Arial"/>
          <w:sz w:val="24"/>
          <w:szCs w:val="24"/>
        </w:rPr>
        <w:t>ido</w:t>
      </w:r>
      <w:r w:rsidR="00877AE6" w:rsidRPr="00877AE6">
        <w:rPr>
          <w:rFonts w:ascii="Palatino Linotype" w:hAnsi="Palatino Linotype" w:cs="Arial"/>
          <w:sz w:val="24"/>
          <w:szCs w:val="24"/>
        </w:rPr>
        <w:t xml:space="preserve"> que para acreditar la reserva de la información, es necesario actualizar cuatro requisitos, siendo estos los siguientes:</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La existencia de un juicio o procedimiento administrativo materialmente jurisdiccional. </w:t>
      </w:r>
    </w:p>
    <w:p w:rsidR="00877AE6" w:rsidRPr="00877AE6" w:rsidRDefault="00877AE6" w:rsidP="00877AE6">
      <w:pPr>
        <w:pStyle w:val="Prrafodelista"/>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Que el juicio se encuentre en trámite, es decir, que no haya causado estad.</w:t>
      </w:r>
    </w:p>
    <w:p w:rsidR="00877AE6" w:rsidRPr="00877AE6" w:rsidRDefault="00877AE6" w:rsidP="00877AE6">
      <w:pPr>
        <w:spacing w:line="360" w:lineRule="auto"/>
        <w:ind w:left="567" w:right="616" w:hanging="11"/>
        <w:jc w:val="both"/>
        <w:rPr>
          <w:rFonts w:ascii="Palatino Linotype" w:hAnsi="Palatino Linotype" w:cs="Arial"/>
          <w:b/>
          <w:sz w:val="24"/>
          <w:szCs w:val="24"/>
        </w:rPr>
      </w:pPr>
      <w:r w:rsidRPr="00877AE6">
        <w:rPr>
          <w:rFonts w:ascii="Palatino Linotype" w:hAnsi="Palatino Linotype" w:cs="Arial"/>
          <w:b/>
          <w:sz w:val="24"/>
          <w:szCs w:val="24"/>
        </w:rPr>
        <w:t xml:space="preserve"> </w:t>
      </w: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lastRenderedPageBreak/>
        <w:t xml:space="preserve">El vínculo entre la información solicitada y el procedimiento judicial de que se trate. </w:t>
      </w:r>
    </w:p>
    <w:p w:rsidR="00877AE6" w:rsidRPr="00877AE6" w:rsidRDefault="00877AE6" w:rsidP="00877AE6">
      <w:pPr>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Por lo que, únicamente al configurarse los mismos, es procedente la reserva de la información, si uno de los requisitos faltase, no será en ningún momento posible su reserva. </w:t>
      </w:r>
    </w:p>
    <w:p w:rsidR="006E702D" w:rsidRDefault="006E702D" w:rsidP="006E702D">
      <w:pPr>
        <w:spacing w:after="0" w:line="360" w:lineRule="auto"/>
        <w:contextualSpacing/>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Del expediente, objeto de mi presente voto </w:t>
      </w:r>
      <w:r>
        <w:rPr>
          <w:rFonts w:ascii="Palatino Linotype" w:hAnsi="Palatino Linotype" w:cs="Arial"/>
          <w:sz w:val="24"/>
          <w:szCs w:val="24"/>
        </w:rPr>
        <w:t>particular</w:t>
      </w:r>
      <w:r w:rsidRPr="00877AE6">
        <w:rPr>
          <w:rFonts w:ascii="Palatino Linotype" w:hAnsi="Palatino Linotype" w:cs="Arial"/>
          <w:sz w:val="24"/>
          <w:szCs w:val="24"/>
        </w:rPr>
        <w:t xml:space="preserve">, advierto que del estudio de la resolución dictada por la </w:t>
      </w:r>
      <w:r w:rsidR="0057636B">
        <w:rPr>
          <w:rFonts w:ascii="Palatino Linotype" w:hAnsi="Palatino Linotype" w:cs="Arial"/>
          <w:sz w:val="24"/>
          <w:szCs w:val="24"/>
        </w:rPr>
        <w:t>P</w:t>
      </w:r>
      <w:r w:rsidRPr="00877AE6">
        <w:rPr>
          <w:rFonts w:ascii="Palatino Linotype" w:hAnsi="Palatino Linotype" w:cs="Arial"/>
          <w:sz w:val="24"/>
          <w:szCs w:val="24"/>
        </w:rPr>
        <w:t xml:space="preserve">onencia </w:t>
      </w:r>
      <w:proofErr w:type="spellStart"/>
      <w:r w:rsidR="0057636B">
        <w:rPr>
          <w:rFonts w:ascii="Palatino Linotype" w:hAnsi="Palatino Linotype" w:cs="Arial"/>
          <w:sz w:val="24"/>
          <w:szCs w:val="24"/>
        </w:rPr>
        <w:t>Resolutor</w:t>
      </w:r>
      <w:r w:rsidRPr="00877AE6">
        <w:rPr>
          <w:rFonts w:ascii="Palatino Linotype" w:hAnsi="Palatino Linotype" w:cs="Arial"/>
          <w:sz w:val="24"/>
          <w:szCs w:val="24"/>
        </w:rPr>
        <w:t>a</w:t>
      </w:r>
      <w:proofErr w:type="spellEnd"/>
      <w:r w:rsidRPr="00877AE6">
        <w:rPr>
          <w:rFonts w:ascii="Palatino Linotype" w:hAnsi="Palatino Linotype" w:cs="Arial"/>
          <w:sz w:val="24"/>
          <w:szCs w:val="24"/>
        </w:rPr>
        <w:t xml:space="preserve">, se desprende lo siguiente: </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0"/>
        </w:numPr>
        <w:spacing w:before="240" w:after="24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t xml:space="preserve">El Sujeto Obligado </w:t>
      </w:r>
      <w:r w:rsidR="00C72591">
        <w:rPr>
          <w:rFonts w:ascii="Palatino Linotype" w:hAnsi="Palatino Linotype" w:cs="Arial"/>
          <w:sz w:val="24"/>
          <w:szCs w:val="24"/>
        </w:rPr>
        <w:t>advierte una eventual</w:t>
      </w:r>
      <w:r w:rsidR="00343BFF">
        <w:rPr>
          <w:rFonts w:ascii="Palatino Linotype" w:hAnsi="Palatino Linotype" w:cs="Arial"/>
          <w:sz w:val="24"/>
          <w:szCs w:val="24"/>
        </w:rPr>
        <w:t xml:space="preserve"> </w:t>
      </w:r>
      <w:r w:rsidRPr="00877AE6">
        <w:rPr>
          <w:rFonts w:ascii="Palatino Linotype" w:hAnsi="Palatino Linotype" w:cs="Arial"/>
          <w:sz w:val="24"/>
          <w:szCs w:val="24"/>
        </w:rPr>
        <w:t>reserv</w:t>
      </w:r>
      <w:r w:rsidR="00343BFF">
        <w:rPr>
          <w:rFonts w:ascii="Palatino Linotype" w:hAnsi="Palatino Linotype" w:cs="Arial"/>
          <w:sz w:val="24"/>
          <w:szCs w:val="24"/>
        </w:rPr>
        <w:t>a</w:t>
      </w:r>
      <w:r w:rsidRPr="00877AE6">
        <w:rPr>
          <w:rFonts w:ascii="Palatino Linotype" w:hAnsi="Palatino Linotype" w:cs="Arial"/>
          <w:sz w:val="24"/>
          <w:szCs w:val="24"/>
        </w:rPr>
        <w:t xml:space="preserve"> </w:t>
      </w:r>
      <w:r w:rsidR="00C72591">
        <w:rPr>
          <w:rFonts w:ascii="Palatino Linotype" w:hAnsi="Palatino Linotype" w:cs="Arial"/>
          <w:sz w:val="24"/>
          <w:szCs w:val="24"/>
        </w:rPr>
        <w:t xml:space="preserve">de </w:t>
      </w:r>
      <w:r w:rsidRPr="00877AE6">
        <w:rPr>
          <w:rFonts w:ascii="Palatino Linotype" w:hAnsi="Palatino Linotype" w:cs="Arial"/>
          <w:sz w:val="24"/>
          <w:szCs w:val="24"/>
        </w:rPr>
        <w:t>la información sin analizar la naturaleza de la misma, sin ajustar las circunstancias de modo tiempo y lugar a la hip</w:t>
      </w:r>
      <w:r w:rsidR="00C72591">
        <w:rPr>
          <w:rFonts w:ascii="Palatino Linotype" w:hAnsi="Palatino Linotype" w:cs="Arial"/>
          <w:sz w:val="24"/>
          <w:szCs w:val="24"/>
        </w:rPr>
        <w:t>ótesis que configura la reserva</w:t>
      </w:r>
      <w:r w:rsidRPr="00877AE6">
        <w:rPr>
          <w:rFonts w:ascii="Palatino Linotype" w:hAnsi="Palatino Linotype" w:cs="Arial"/>
          <w:sz w:val="24"/>
          <w:szCs w:val="24"/>
        </w:rPr>
        <w:t xml:space="preserve"> </w:t>
      </w:r>
      <w:r w:rsidR="00C72591">
        <w:rPr>
          <w:rFonts w:ascii="Palatino Linotype" w:hAnsi="Palatino Linotype" w:cs="Arial"/>
          <w:sz w:val="24"/>
          <w:szCs w:val="24"/>
        </w:rPr>
        <w:t>y sin siquiera advertirse una</w:t>
      </w:r>
      <w:r w:rsidRPr="00877AE6">
        <w:rPr>
          <w:rFonts w:ascii="Palatino Linotype" w:hAnsi="Palatino Linotype" w:cs="Arial"/>
          <w:sz w:val="24"/>
          <w:szCs w:val="24"/>
        </w:rPr>
        <w:t xml:space="preserve"> prueba de daño</w:t>
      </w:r>
      <w:r w:rsidR="00C72591">
        <w:rPr>
          <w:rFonts w:ascii="Palatino Linotype" w:hAnsi="Palatino Linotype" w:cs="Arial"/>
          <w:sz w:val="24"/>
          <w:szCs w:val="24"/>
        </w:rPr>
        <w:t>.</w:t>
      </w:r>
    </w:p>
    <w:p w:rsidR="00877AE6" w:rsidRPr="00877AE6" w:rsidRDefault="00877AE6" w:rsidP="00877AE6">
      <w:pPr>
        <w:pStyle w:val="Prrafodelista"/>
        <w:numPr>
          <w:ilvl w:val="0"/>
          <w:numId w:val="40"/>
        </w:numPr>
        <w:spacing w:after="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lastRenderedPageBreak/>
        <w:t xml:space="preserve">La ponencia tampoco analizó tales circunstancias, ni materializo la facultad que la ley confiere en sus artículos 182 y 185 de la Ley de la materia. </w:t>
      </w:r>
    </w:p>
    <w:p w:rsidR="00877AE6" w:rsidRPr="00877AE6" w:rsidRDefault="00877AE6" w:rsidP="00877AE6">
      <w:pPr>
        <w:pStyle w:val="Prrafodelista"/>
        <w:spacing w:line="360" w:lineRule="auto"/>
        <w:ind w:left="1571" w:right="49"/>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877AE6" w:rsidRPr="00877AE6" w:rsidRDefault="00877AE6" w:rsidP="006E702D">
      <w:pPr>
        <w:spacing w:after="0" w:line="360" w:lineRule="auto"/>
        <w:contextualSpacing/>
        <w:jc w:val="both"/>
        <w:rPr>
          <w:rFonts w:ascii="Palatino Linotype" w:hAnsi="Palatino Linotype" w:cs="Arial"/>
          <w:sz w:val="24"/>
          <w:szCs w:val="24"/>
        </w:rPr>
      </w:pPr>
    </w:p>
    <w:p w:rsidR="00630412"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Respecto al análisis realizado por la ponencia </w:t>
      </w:r>
      <w:proofErr w:type="spellStart"/>
      <w:r w:rsidRPr="00877AE6">
        <w:rPr>
          <w:rFonts w:ascii="Palatino Linotype" w:hAnsi="Palatino Linotype" w:cs="Arial"/>
          <w:sz w:val="24"/>
          <w:szCs w:val="24"/>
        </w:rPr>
        <w:t>resolutora</w:t>
      </w:r>
      <w:proofErr w:type="spellEnd"/>
      <w:r w:rsidRPr="00877AE6">
        <w:rPr>
          <w:rFonts w:ascii="Palatino Linotype" w:hAnsi="Palatino Linotype" w:cs="Arial"/>
          <w:sz w:val="24"/>
          <w:szCs w:val="24"/>
        </w:rPr>
        <w:t xml:space="preserve"> tampoco analizó debidamente tales circunstancias, solamente se constriñe a señalar que </w:t>
      </w:r>
      <w:r w:rsidR="00630412">
        <w:rPr>
          <w:rFonts w:ascii="Palatino Linotype" w:hAnsi="Palatino Linotype" w:cs="Arial"/>
          <w:sz w:val="24"/>
          <w:szCs w:val="24"/>
        </w:rPr>
        <w:t xml:space="preserve">se ordena la información, dejando una salvedad que para el caso de que se actualice una causal de reserva, se proceda en esos términos, situación que no debiera dejarse como una salvedad; sino que debió ser la propia Ponencia </w:t>
      </w:r>
      <w:proofErr w:type="spellStart"/>
      <w:r w:rsidR="00630412">
        <w:rPr>
          <w:rFonts w:ascii="Palatino Linotype" w:hAnsi="Palatino Linotype" w:cs="Arial"/>
          <w:sz w:val="24"/>
          <w:szCs w:val="24"/>
        </w:rPr>
        <w:t>Resolutora</w:t>
      </w:r>
      <w:proofErr w:type="spellEnd"/>
      <w:r w:rsidR="00630412">
        <w:rPr>
          <w:rFonts w:ascii="Palatino Linotype" w:hAnsi="Palatino Linotype" w:cs="Arial"/>
          <w:sz w:val="24"/>
          <w:szCs w:val="24"/>
        </w:rPr>
        <w:t>, quien determinara si era o no información clasificada.</w:t>
      </w:r>
    </w:p>
    <w:p w:rsidR="006E702D" w:rsidRDefault="006E702D" w:rsidP="006E702D">
      <w:pPr>
        <w:pStyle w:val="Prrafodelista"/>
        <w:rPr>
          <w:rFonts w:ascii="Palatino Linotype" w:hAnsi="Palatino Linotype" w:cs="Arial"/>
          <w:sz w:val="24"/>
          <w:szCs w:val="24"/>
        </w:rPr>
      </w:pPr>
    </w:p>
    <w:p w:rsid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Es imprescriptible señalar que en el presente año, este Órgano </w:t>
      </w:r>
      <w:proofErr w:type="spellStart"/>
      <w:r w:rsidRPr="00877AE6">
        <w:rPr>
          <w:rFonts w:ascii="Palatino Linotype" w:hAnsi="Palatino Linotype" w:cs="Arial"/>
          <w:sz w:val="24"/>
          <w:szCs w:val="24"/>
        </w:rPr>
        <w:t>Resolutor</w:t>
      </w:r>
      <w:proofErr w:type="spellEnd"/>
      <w:r w:rsidRPr="00877AE6">
        <w:rPr>
          <w:rFonts w:ascii="Palatino Linotype" w:hAnsi="Palatino Linotype" w:cs="Arial"/>
          <w:sz w:val="24"/>
          <w:szCs w:val="24"/>
        </w:rPr>
        <w:t xml:space="preserve"> ha sido sometido a un estricto control por parte del Instituto Nacional de Transparencia, Acceso a la Información y Protección de Datos Personales (INAI), como resultado de los Recursos de Inconformidad </w:t>
      </w:r>
      <w:r w:rsidRPr="00877AE6">
        <w:rPr>
          <w:rFonts w:ascii="Palatino Linotype" w:hAnsi="Palatino Linotype" w:cs="Arial"/>
          <w:sz w:val="24"/>
          <w:szCs w:val="24"/>
          <w:lang w:eastAsia="es-MX"/>
        </w:rPr>
        <w:t>069/18 y RIA 082/18</w:t>
      </w:r>
      <w:r w:rsidRPr="00877AE6">
        <w:rPr>
          <w:rFonts w:ascii="Palatino Linotype" w:hAnsi="Palatino Linotype" w:cs="Arial"/>
          <w:sz w:val="24"/>
          <w:szCs w:val="24"/>
        </w:rPr>
        <w:t xml:space="preserve">, en los que el Órgano Garante Nacional, puntualmente dirigió a este Órgano Garante local, que </w:t>
      </w:r>
      <w:r w:rsidRPr="00877AE6">
        <w:rPr>
          <w:rFonts w:ascii="Palatino Linotype" w:hAnsi="Palatino Linotype" w:cs="Arial"/>
          <w:sz w:val="24"/>
          <w:szCs w:val="24"/>
        </w:rPr>
        <w:lastRenderedPageBreak/>
        <w:t xml:space="preserve">para invocar la causal de reserva, se deben de agotar todos y cada uno de los requisitos. </w:t>
      </w:r>
    </w:p>
    <w:p w:rsidR="006E702D" w:rsidRDefault="006E702D" w:rsidP="006E702D">
      <w:pPr>
        <w:pStyle w:val="Prrafodelista"/>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877AE6" w:rsidRPr="00877AE6" w:rsidRDefault="00877AE6" w:rsidP="00877AE6">
      <w:pPr>
        <w:pStyle w:val="Prrafodelista"/>
        <w:spacing w:line="360" w:lineRule="auto"/>
        <w:rPr>
          <w:rFonts w:ascii="Palatino Linotype" w:hAnsi="Palatino Linotype" w:cs="Arial"/>
          <w:sz w:val="24"/>
          <w:szCs w:val="24"/>
        </w:rPr>
      </w:pPr>
    </w:p>
    <w:p w:rsid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xml:space="preserve">, de tal </w:t>
      </w:r>
      <w:r w:rsidRPr="00877AE6">
        <w:rPr>
          <w:rFonts w:ascii="Palatino Linotype" w:hAnsi="Palatino Linotype" w:cs="Arial"/>
          <w:sz w:val="24"/>
          <w:szCs w:val="24"/>
        </w:rPr>
        <w:lastRenderedPageBreak/>
        <w:t>forma que cualquier esfuerzo que se haga en el sentido de cumplir con dicho mandato no resulta ocioso ni sobra sino demuestra el grado de compromiso de la autoridad con este aspecto toral de la reforma constitucional del 10 de junio de 2011.</w:t>
      </w:r>
    </w:p>
    <w:p w:rsidR="006E702D" w:rsidRDefault="006E702D" w:rsidP="006E702D">
      <w:pPr>
        <w:pStyle w:val="Prrafodelista"/>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877AE6">
        <w:rPr>
          <w:rFonts w:ascii="Palatino Linotype" w:hAnsi="Palatino Linotype" w:cs="Arial"/>
          <w:b/>
          <w:sz w:val="24"/>
          <w:szCs w:val="24"/>
        </w:rPr>
        <w:t>considerando que algún nivel de gobierno tenga obligaciones reforzadas hacia ciertos derechos.</w:t>
      </w:r>
      <w:r w:rsidRPr="00877AE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877AE6">
        <w:rPr>
          <w:rFonts w:ascii="Palatino Linotype" w:hAnsi="Palatino Linotype" w:cs="Arial"/>
          <w:b/>
          <w:sz w:val="24"/>
          <w:szCs w:val="24"/>
        </w:rPr>
        <w:t>tomar todas las medidas que sean pertinentes para tutelar y hacer eficaz un derecho</w:t>
      </w:r>
      <w:r w:rsidRPr="00877AE6">
        <w:rPr>
          <w:rFonts w:ascii="Palatino Linotype" w:hAnsi="Palatino Linotype" w:cs="Arial"/>
          <w:sz w:val="24"/>
          <w:szCs w:val="24"/>
        </w:rPr>
        <w:t>”.</w:t>
      </w:r>
      <w:r w:rsidRPr="00877AE6">
        <w:rPr>
          <w:rStyle w:val="Refdenotaalpie"/>
          <w:rFonts w:ascii="Palatino Linotype" w:hAnsi="Palatino Linotype" w:cs="Arial"/>
          <w:sz w:val="24"/>
          <w:szCs w:val="24"/>
        </w:rPr>
        <w:footnoteReference w:id="1"/>
      </w:r>
    </w:p>
    <w:p w:rsidR="00877AE6" w:rsidRDefault="00877AE6" w:rsidP="00877AE6">
      <w:pPr>
        <w:pStyle w:val="Prrafodelista"/>
        <w:spacing w:line="360" w:lineRule="auto"/>
        <w:ind w:left="0"/>
        <w:jc w:val="both"/>
        <w:rPr>
          <w:rFonts w:ascii="Palatino Linotype" w:hAnsi="Palatino Linotype" w:cs="Arial"/>
          <w:sz w:val="24"/>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877AE6" w:rsidRDefault="006E702D" w:rsidP="00877AE6">
      <w:pPr>
        <w:pStyle w:val="Prrafodelista"/>
        <w:spacing w:line="360" w:lineRule="auto"/>
        <w:ind w:left="360"/>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34976</wp:posOffset>
                </wp:positionV>
                <wp:extent cx="5522976" cy="570585"/>
                <wp:effectExtent l="0" t="0" r="20955" b="20320"/>
                <wp:wrapNone/>
                <wp:docPr id="1" name="Conector recto 1"/>
                <wp:cNvGraphicFramePr/>
                <a:graphic xmlns:a="http://schemas.openxmlformats.org/drawingml/2006/main">
                  <a:graphicData uri="http://schemas.microsoft.com/office/word/2010/wordprocessingShape">
                    <wps:wsp>
                      <wps:cNvCnPr/>
                      <wps:spPr>
                        <a:xfrm>
                          <a:off x="0" y="0"/>
                          <a:ext cx="5522976" cy="5705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82745"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75pt" to="436.2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" strokecolor="black [3200]" strokeweight="1.5pt">
                <v:stroke joinstyle="miter"/>
              </v:line>
            </w:pict>
          </mc:Fallback>
        </mc:AlternateContent>
      </w:r>
    </w:p>
    <w:p w:rsidR="006E702D" w:rsidRDefault="006E702D" w:rsidP="00877AE6">
      <w:pPr>
        <w:pStyle w:val="Prrafodelista"/>
        <w:spacing w:line="360" w:lineRule="auto"/>
        <w:ind w:left="360"/>
        <w:jc w:val="both"/>
        <w:rPr>
          <w:rFonts w:ascii="Palatino Linotype" w:hAnsi="Palatino Linotype" w:cs="Arial"/>
          <w:sz w:val="24"/>
          <w:szCs w:val="24"/>
        </w:rPr>
      </w:pPr>
    </w:p>
    <w:p w:rsidR="00877AE6" w:rsidRPr="006E702D"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lastRenderedPageBreak/>
        <w:t>“Artículo 185. El instituto resolverá el recurso de revisión conforme a lo siguiente:</w:t>
      </w:r>
    </w:p>
    <w:p w:rsidR="00877AE6" w:rsidRPr="006E702D"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 xml:space="preserve">(…) </w:t>
      </w:r>
    </w:p>
    <w:p w:rsidR="00877AE6" w:rsidRPr="006E702D"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 xml:space="preserve">V. La o el Comisionado ponente podrá determinar la celebración de audiencias con las partes durante la sustanciación del proceso. </w:t>
      </w:r>
    </w:p>
    <w:p w:rsidR="00877AE6" w:rsidRDefault="00877AE6" w:rsidP="00877AE6">
      <w:pPr>
        <w:pStyle w:val="Prrafodelista"/>
        <w:spacing w:line="360" w:lineRule="auto"/>
        <w:ind w:left="851" w:right="616"/>
        <w:jc w:val="both"/>
        <w:rPr>
          <w:rFonts w:ascii="Palatino Linotype" w:hAnsi="Palatino Linotype" w:cs="Arial"/>
          <w:i/>
          <w:szCs w:val="24"/>
        </w:rPr>
      </w:pPr>
      <w:r w:rsidRPr="006E702D">
        <w:rPr>
          <w:rFonts w:ascii="Palatino Linotype" w:hAnsi="Palatino Linotype" w:cs="Arial"/>
          <w:i/>
          <w:szCs w:val="24"/>
        </w:rPr>
        <w:t>(…) “</w:t>
      </w:r>
    </w:p>
    <w:p w:rsidR="00476944" w:rsidRPr="006E702D" w:rsidRDefault="00476944" w:rsidP="00877AE6">
      <w:pPr>
        <w:pStyle w:val="Prrafodelista"/>
        <w:spacing w:line="360" w:lineRule="auto"/>
        <w:ind w:left="851" w:right="616"/>
        <w:jc w:val="both"/>
        <w:rPr>
          <w:rFonts w:ascii="Palatino Linotype" w:hAnsi="Palatino Linotype" w:cs="Arial"/>
          <w:i/>
          <w:szCs w:val="24"/>
        </w:rPr>
      </w:pPr>
    </w:p>
    <w:p w:rsidR="00877AE6"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En relación con</w:t>
      </w:r>
      <w:r w:rsidR="00FE083B">
        <w:rPr>
          <w:rFonts w:ascii="Palatino Linotype" w:hAnsi="Palatino Linotype" w:cs="Arial"/>
          <w:sz w:val="24"/>
          <w:szCs w:val="24"/>
        </w:rPr>
        <w:t xml:space="preserve"> lo anterior, considero que la Ponencia </w:t>
      </w:r>
      <w:proofErr w:type="spellStart"/>
      <w:r w:rsidR="00FE083B">
        <w:rPr>
          <w:rFonts w:ascii="Palatino Linotype" w:hAnsi="Palatino Linotype" w:cs="Arial"/>
          <w:sz w:val="24"/>
          <w:szCs w:val="24"/>
        </w:rPr>
        <w:t>R</w:t>
      </w:r>
      <w:r w:rsidRPr="00877AE6">
        <w:rPr>
          <w:rFonts w:ascii="Palatino Linotype" w:hAnsi="Palatino Linotype" w:cs="Arial"/>
          <w:sz w:val="24"/>
          <w:szCs w:val="24"/>
        </w:rPr>
        <w:t>esolutora</w:t>
      </w:r>
      <w:proofErr w:type="spellEnd"/>
      <w:r w:rsidRPr="00877AE6">
        <w:rPr>
          <w:rFonts w:ascii="Palatino Linotype" w:hAnsi="Palatino Linotype" w:cs="Arial"/>
          <w:sz w:val="24"/>
          <w:szCs w:val="24"/>
        </w:rPr>
        <w:t xml:space="preserve"> </w:t>
      </w:r>
      <w:r w:rsidR="00630412">
        <w:rPr>
          <w:rFonts w:ascii="Palatino Linotype" w:hAnsi="Palatino Linotype" w:cs="Arial"/>
          <w:sz w:val="24"/>
          <w:szCs w:val="24"/>
        </w:rPr>
        <w:t xml:space="preserve">–insisto–, </w:t>
      </w:r>
      <w:r w:rsidRPr="00877AE6">
        <w:rPr>
          <w:rFonts w:ascii="Palatino Linotype" w:hAnsi="Palatino Linotype" w:cs="Arial"/>
          <w:sz w:val="24"/>
          <w:szCs w:val="24"/>
        </w:rPr>
        <w:t>debió de pronunciarse sobre la naturaleza de lo requerid</w:t>
      </w:r>
      <w:r w:rsidR="00FE083B">
        <w:rPr>
          <w:rFonts w:ascii="Palatino Linotype" w:hAnsi="Palatino Linotype" w:cs="Arial"/>
          <w:sz w:val="24"/>
          <w:szCs w:val="24"/>
        </w:rPr>
        <w:t>o sin ningún tipo de ambigüedad;</w:t>
      </w:r>
      <w:r w:rsidRPr="00877AE6">
        <w:rPr>
          <w:rFonts w:ascii="Palatino Linotype" w:hAnsi="Palatino Linotype" w:cs="Arial"/>
          <w:sz w:val="24"/>
          <w:szCs w:val="24"/>
        </w:rPr>
        <w:t xml:space="preserve">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877AE6" w:rsidRDefault="00476944" w:rsidP="00877AE6">
      <w:pPr>
        <w:pStyle w:val="Prrafodelista"/>
        <w:spacing w:line="360" w:lineRule="auto"/>
        <w:ind w:left="360"/>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ABB76A0" wp14:editId="34C2BBDB">
                <wp:simplePos x="0" y="0"/>
                <wp:positionH relativeFrom="column">
                  <wp:posOffset>51206</wp:posOffset>
                </wp:positionH>
                <wp:positionV relativeFrom="paragraph">
                  <wp:posOffset>146050</wp:posOffset>
                </wp:positionV>
                <wp:extent cx="5486400" cy="1031444"/>
                <wp:effectExtent l="0" t="0" r="19050" b="35560"/>
                <wp:wrapNone/>
                <wp:docPr id="4" name="Conector recto 4"/>
                <wp:cNvGraphicFramePr/>
                <a:graphic xmlns:a="http://schemas.openxmlformats.org/drawingml/2006/main">
                  <a:graphicData uri="http://schemas.microsoft.com/office/word/2010/wordprocessingShape">
                    <wps:wsp>
                      <wps:cNvCnPr/>
                      <wps:spPr>
                        <a:xfrm>
                          <a:off x="0" y="0"/>
                          <a:ext cx="5486400" cy="103144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D9036D" id="Conector recto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5pt,11.5pt" to="436.0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" strokecolor="black [3200]" strokeweight="1.5pt">
                <v:stroke joinstyle="miter"/>
              </v:line>
            </w:pict>
          </mc:Fallback>
        </mc:AlternateContent>
      </w:r>
    </w:p>
    <w:p w:rsidR="00476944" w:rsidRPr="00877AE6" w:rsidRDefault="00476944" w:rsidP="00877AE6">
      <w:pPr>
        <w:pStyle w:val="Prrafodelista"/>
        <w:spacing w:line="360" w:lineRule="auto"/>
        <w:ind w:left="360"/>
        <w:jc w:val="both"/>
        <w:rPr>
          <w:rFonts w:ascii="Palatino Linotype" w:hAnsi="Palatino Linotype" w:cs="Arial"/>
          <w:sz w:val="24"/>
          <w:szCs w:val="24"/>
        </w:rPr>
      </w:pPr>
    </w:p>
    <w:p w:rsidR="00FE083B" w:rsidRDefault="00FE083B" w:rsidP="006E702D">
      <w:pPr>
        <w:numPr>
          <w:ilvl w:val="0"/>
          <w:numId w:val="2"/>
        </w:numPr>
        <w:spacing w:after="0" w:line="360" w:lineRule="auto"/>
        <w:ind w:left="0" w:firstLine="0"/>
        <w:contextualSpacing/>
        <w:jc w:val="both"/>
        <w:rPr>
          <w:rFonts w:ascii="Palatino Linotype" w:hAnsi="Palatino Linotype" w:cs="Arial"/>
          <w:sz w:val="24"/>
          <w:szCs w:val="24"/>
        </w:rPr>
      </w:pPr>
      <w:r>
        <w:rPr>
          <w:rFonts w:ascii="Palatino Linotype" w:hAnsi="Palatino Linotype" w:cs="Arial"/>
          <w:sz w:val="24"/>
          <w:szCs w:val="24"/>
        </w:rPr>
        <w:lastRenderedPageBreak/>
        <w:t xml:space="preserve">Ahora bien, por lo que hace a este caso particular y a manera de conclusión, considero que </w:t>
      </w:r>
      <w:r w:rsidR="00343BFF">
        <w:rPr>
          <w:rFonts w:ascii="Palatino Linotype" w:hAnsi="Palatino Linotype" w:cs="Arial"/>
          <w:sz w:val="24"/>
          <w:szCs w:val="24"/>
        </w:rPr>
        <w:t xml:space="preserve">no </w:t>
      </w:r>
      <w:r>
        <w:rPr>
          <w:rFonts w:ascii="Palatino Linotype" w:hAnsi="Palatino Linotype" w:cs="Arial"/>
          <w:sz w:val="24"/>
          <w:szCs w:val="24"/>
        </w:rPr>
        <w:t xml:space="preserve">debió dejarse la responsabilidad al Sujeto Obligado, para que </w:t>
      </w:r>
      <w:r w:rsidR="0057636B">
        <w:rPr>
          <w:rFonts w:ascii="Palatino Linotype" w:hAnsi="Palatino Linotype" w:cs="Arial"/>
          <w:sz w:val="24"/>
          <w:szCs w:val="24"/>
        </w:rPr>
        <w:t xml:space="preserve">fuese el quien </w:t>
      </w:r>
      <w:r>
        <w:rPr>
          <w:rFonts w:ascii="Palatino Linotype" w:hAnsi="Palatino Linotype" w:cs="Arial"/>
          <w:sz w:val="24"/>
          <w:szCs w:val="24"/>
        </w:rPr>
        <w:t>analizara si la información debía ser clasificada o no.</w:t>
      </w:r>
    </w:p>
    <w:p w:rsidR="00FE083B" w:rsidRPr="00FE083B" w:rsidRDefault="00FE083B" w:rsidP="00FE083B">
      <w:pPr>
        <w:pStyle w:val="Prrafodelista"/>
        <w:rPr>
          <w:rFonts w:ascii="Palatino Linotype" w:hAnsi="Palatino Linotype" w:cs="Arial"/>
          <w:sz w:val="24"/>
          <w:szCs w:val="24"/>
        </w:rPr>
      </w:pPr>
    </w:p>
    <w:p w:rsidR="003246CE" w:rsidRPr="00877AE6" w:rsidRDefault="00877AE6" w:rsidP="006E702D">
      <w:pPr>
        <w:numPr>
          <w:ilvl w:val="0"/>
          <w:numId w:val="2"/>
        </w:numPr>
        <w:spacing w:after="0" w:line="360" w:lineRule="auto"/>
        <w:ind w:left="0" w:firstLine="0"/>
        <w:contextualSpacing/>
        <w:jc w:val="both"/>
        <w:rPr>
          <w:rFonts w:ascii="Palatino Linotype" w:hAnsi="Palatino Linotype" w:cs="Arial"/>
          <w:sz w:val="24"/>
          <w:szCs w:val="24"/>
        </w:rPr>
      </w:pPr>
      <w:r w:rsidRPr="00877AE6">
        <w:rPr>
          <w:rFonts w:ascii="Palatino Linotype" w:hAnsi="Palatino Linotype" w:cs="Arial"/>
          <w:sz w:val="24"/>
          <w:szCs w:val="24"/>
        </w:rPr>
        <w:t xml:space="preserve">Una vez expuesto lo anterior, concluyo mi voto </w:t>
      </w:r>
      <w:r w:rsidR="0057636B">
        <w:rPr>
          <w:rFonts w:ascii="Palatino Linotype" w:hAnsi="Palatino Linotype" w:cs="Arial"/>
          <w:sz w:val="24"/>
          <w:szCs w:val="24"/>
        </w:rPr>
        <w:t>particular</w:t>
      </w:r>
      <w:r w:rsidRPr="00877AE6">
        <w:rPr>
          <w:rFonts w:ascii="Palatino Linotype" w:hAnsi="Palatino Linotype" w:cs="Arial"/>
          <w:sz w:val="24"/>
          <w:szCs w:val="24"/>
        </w:rPr>
        <w:t xml:space="preserve"> en la resolución materia del mismo.</w:t>
      </w:r>
    </w:p>
    <w:p w:rsidR="00466F45" w:rsidRPr="00877AE6" w:rsidRDefault="00466F45" w:rsidP="003246CE">
      <w:pPr>
        <w:pStyle w:val="Prrafodelista"/>
        <w:spacing w:after="0" w:line="360" w:lineRule="auto"/>
        <w:ind w:left="360"/>
        <w:jc w:val="both"/>
        <w:rPr>
          <w:rFonts w:ascii="Palatino Linotype" w:eastAsia="Calibri" w:hAnsi="Palatino Linotype" w:cs="Arial"/>
          <w:sz w:val="24"/>
          <w:szCs w:val="24"/>
        </w:rPr>
      </w:pPr>
    </w:p>
    <w:p w:rsidR="000D5AEA" w:rsidRPr="00EC2EC2" w:rsidRDefault="000D5AEA" w:rsidP="000D5AEA">
      <w:pPr>
        <w:spacing w:line="360" w:lineRule="auto"/>
        <w:ind w:left="360"/>
        <w:contextualSpacing/>
        <w:jc w:val="both"/>
        <w:rPr>
          <w:rFonts w:ascii="Palatino Linotype" w:eastAsia="Calibri" w:hAnsi="Palatino Linotype" w:cs="Arial"/>
          <w:color w:val="000000" w:themeColor="text1"/>
          <w:sz w:val="32"/>
          <w:szCs w:val="24"/>
        </w:rPr>
      </w:pPr>
    </w:p>
    <w:p w:rsidR="000D5AEA" w:rsidRPr="00EC2EC2" w:rsidRDefault="000D5AEA" w:rsidP="000D5AEA">
      <w:pPr>
        <w:spacing w:line="360" w:lineRule="auto"/>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JOSÉ GUADALUPE LUNA HERNÁNDEZ</w:t>
      </w:r>
    </w:p>
    <w:p w:rsidR="000D5AEA" w:rsidRPr="00EC2EC2" w:rsidRDefault="000D5AEA" w:rsidP="000D5AEA">
      <w:pPr>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COMISIONADO</w:t>
      </w:r>
    </w:p>
    <w:p w:rsidR="00A640C7" w:rsidRDefault="00A93DB3" w:rsidP="000D5AEA">
      <w:pPr>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(RÚBRICA)</w:t>
      </w:r>
    </w:p>
    <w:p w:rsidR="00476944" w:rsidRDefault="00476944" w:rsidP="000D5AEA">
      <w:pPr>
        <w:jc w:val="center"/>
        <w:rPr>
          <w:rFonts w:ascii="Palatino Linotype" w:eastAsia="Calibri" w:hAnsi="Palatino Linotype" w:cs="Arial"/>
          <w:b/>
          <w:color w:val="000000" w:themeColor="text1"/>
          <w:sz w:val="24"/>
          <w:szCs w:val="24"/>
        </w:rPr>
      </w:pPr>
    </w:p>
    <w:p w:rsidR="00476944" w:rsidRDefault="00476944" w:rsidP="00476944">
      <w:pPr>
        <w:rPr>
          <w:rFonts w:ascii="Palatino Linotype" w:eastAsia="Calibri" w:hAnsi="Palatino Linotype" w:cs="Arial"/>
          <w:b/>
          <w:color w:val="000000" w:themeColor="text1"/>
          <w:sz w:val="24"/>
          <w:szCs w:val="24"/>
        </w:rPr>
      </w:pPr>
    </w:p>
    <w:p w:rsidR="00476944" w:rsidRDefault="00476944" w:rsidP="00476944">
      <w:pPr>
        <w:rPr>
          <w:rFonts w:ascii="Palatino Linotype" w:eastAsia="Calibri" w:hAnsi="Palatino Linotype" w:cs="Arial"/>
          <w:b/>
          <w:color w:val="000000" w:themeColor="text1"/>
          <w:sz w:val="24"/>
          <w:szCs w:val="24"/>
        </w:rPr>
      </w:pPr>
    </w:p>
    <w:p w:rsidR="00476944" w:rsidRDefault="00476944" w:rsidP="00476944">
      <w:pPr>
        <w:rPr>
          <w:rFonts w:ascii="Palatino Linotype" w:eastAsia="Calibri" w:hAnsi="Palatino Linotype" w:cs="Arial"/>
          <w:b/>
          <w:color w:val="000000" w:themeColor="text1"/>
          <w:sz w:val="24"/>
          <w:szCs w:val="24"/>
        </w:rPr>
      </w:pPr>
    </w:p>
    <w:p w:rsidR="00476944" w:rsidRDefault="00476944" w:rsidP="00476944">
      <w:pPr>
        <w:jc w:val="both"/>
        <w:rPr>
          <w:rFonts w:ascii="Palatino Linotype" w:hAnsi="Palatino Linotype" w:cs="Arial"/>
          <w:sz w:val="20"/>
          <w:szCs w:val="20"/>
        </w:rPr>
      </w:pPr>
    </w:p>
    <w:p w:rsidR="00476944" w:rsidRPr="00EB28D7" w:rsidRDefault="00476944" w:rsidP="00476944">
      <w:pPr>
        <w:jc w:val="both"/>
        <w:rPr>
          <w:rFonts w:ascii="Palatino Linotype" w:hAnsi="Palatino Linotype" w:cs="Arial"/>
          <w:sz w:val="20"/>
          <w:szCs w:val="20"/>
          <w:lang w:val="es-ES_tradnl"/>
        </w:rPr>
      </w:pPr>
      <w:r>
        <w:rPr>
          <w:rFonts w:ascii="Palatino Linotype" w:hAnsi="Palatino Linotype" w:cs="Arial"/>
          <w:sz w:val="20"/>
          <w:szCs w:val="20"/>
        </w:rPr>
        <w:t>Esta hoja corresponde al voto particular</w:t>
      </w:r>
      <w:r w:rsidRPr="00EB28D7">
        <w:rPr>
          <w:rFonts w:ascii="Palatino Linotype" w:hAnsi="Palatino Linotype" w:cs="Arial"/>
          <w:sz w:val="20"/>
          <w:szCs w:val="20"/>
        </w:rPr>
        <w:t>, emitid</w:t>
      </w:r>
      <w:r>
        <w:rPr>
          <w:rFonts w:ascii="Palatino Linotype" w:hAnsi="Palatino Linotype" w:cs="Arial"/>
          <w:sz w:val="20"/>
          <w:szCs w:val="20"/>
        </w:rPr>
        <w:t>o</w:t>
      </w:r>
      <w:r w:rsidRPr="00EB28D7">
        <w:rPr>
          <w:rFonts w:ascii="Palatino Linotype" w:hAnsi="Palatino Linotype" w:cs="Arial"/>
          <w:sz w:val="20"/>
          <w:szCs w:val="20"/>
        </w:rPr>
        <w:t xml:space="preserve"> en el re</w:t>
      </w:r>
      <w:bookmarkStart w:id="5" w:name="_GoBack"/>
      <w:bookmarkEnd w:id="5"/>
      <w:r w:rsidRPr="00EB28D7">
        <w:rPr>
          <w:rFonts w:ascii="Palatino Linotype" w:hAnsi="Palatino Linotype" w:cs="Arial"/>
          <w:sz w:val="20"/>
          <w:szCs w:val="20"/>
        </w:rPr>
        <w:t>curso de revisión número 0</w:t>
      </w:r>
      <w:r>
        <w:rPr>
          <w:rFonts w:ascii="Palatino Linotype" w:hAnsi="Palatino Linotype" w:cs="Arial"/>
          <w:sz w:val="20"/>
          <w:szCs w:val="20"/>
        </w:rPr>
        <w:t>4492</w:t>
      </w:r>
      <w:r w:rsidRPr="00EB28D7">
        <w:rPr>
          <w:rFonts w:ascii="Palatino Linotype" w:hAnsi="Palatino Linotype" w:cs="Arial"/>
          <w:sz w:val="20"/>
          <w:szCs w:val="20"/>
        </w:rPr>
        <w:t>/INFOEM/IP/RR/2018.</w:t>
      </w:r>
    </w:p>
    <w:p w:rsidR="00476944" w:rsidRPr="00476944" w:rsidRDefault="00476944" w:rsidP="00476944">
      <w:pPr>
        <w:rPr>
          <w:rFonts w:ascii="Palatino Linotype" w:eastAsia="Calibri" w:hAnsi="Palatino Linotype" w:cs="Times New Roman"/>
          <w:color w:val="000000" w:themeColor="text1"/>
          <w:sz w:val="24"/>
          <w:szCs w:val="24"/>
        </w:rPr>
      </w:pPr>
    </w:p>
    <w:sectPr w:rsidR="00476944" w:rsidRPr="00476944"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BF" w:rsidRDefault="005635BF" w:rsidP="00E82D3D">
      <w:pPr>
        <w:spacing w:after="0" w:line="240" w:lineRule="auto"/>
      </w:pPr>
      <w:r>
        <w:separator/>
      </w:r>
    </w:p>
  </w:endnote>
  <w:endnote w:type="continuationSeparator" w:id="0">
    <w:p w:rsidR="005635BF" w:rsidRDefault="005635B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2118">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2118">
              <w:rPr>
                <w:b/>
                <w:bCs/>
                <w:noProof/>
              </w:rPr>
              <w:t>12</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BF" w:rsidRDefault="005635BF" w:rsidP="00E82D3D">
      <w:pPr>
        <w:spacing w:after="0" w:line="240" w:lineRule="auto"/>
      </w:pPr>
      <w:r>
        <w:separator/>
      </w:r>
    </w:p>
  </w:footnote>
  <w:footnote w:type="continuationSeparator" w:id="0">
    <w:p w:rsidR="005635BF" w:rsidRDefault="005635BF"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5635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5635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5635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27"/>
  </w:num>
  <w:num w:numId="3">
    <w:abstractNumId w:val="29"/>
  </w:num>
  <w:num w:numId="4">
    <w:abstractNumId w:val="34"/>
  </w:num>
  <w:num w:numId="5">
    <w:abstractNumId w:val="31"/>
  </w:num>
  <w:num w:numId="6">
    <w:abstractNumId w:val="32"/>
  </w:num>
  <w:num w:numId="7">
    <w:abstractNumId w:val="25"/>
  </w:num>
  <w:num w:numId="8">
    <w:abstractNumId w:val="4"/>
  </w:num>
  <w:num w:numId="9">
    <w:abstractNumId w:val="0"/>
  </w:num>
  <w:num w:numId="10">
    <w:abstractNumId w:val="17"/>
  </w:num>
  <w:num w:numId="11">
    <w:abstractNumId w:val="23"/>
  </w:num>
  <w:num w:numId="12">
    <w:abstractNumId w:val="5"/>
  </w:num>
  <w:num w:numId="13">
    <w:abstractNumId w:val="28"/>
  </w:num>
  <w:num w:numId="14">
    <w:abstractNumId w:val="41"/>
  </w:num>
  <w:num w:numId="15">
    <w:abstractNumId w:val="1"/>
  </w:num>
  <w:num w:numId="16">
    <w:abstractNumId w:val="9"/>
  </w:num>
  <w:num w:numId="17">
    <w:abstractNumId w:val="36"/>
  </w:num>
  <w:num w:numId="18">
    <w:abstractNumId w:val="20"/>
  </w:num>
  <w:num w:numId="19">
    <w:abstractNumId w:val="24"/>
  </w:num>
  <w:num w:numId="20">
    <w:abstractNumId w:val="35"/>
  </w:num>
  <w:num w:numId="21">
    <w:abstractNumId w:val="40"/>
  </w:num>
  <w:num w:numId="22">
    <w:abstractNumId w:val="26"/>
  </w:num>
  <w:num w:numId="23">
    <w:abstractNumId w:val="14"/>
  </w:num>
  <w:num w:numId="24">
    <w:abstractNumId w:val="11"/>
  </w:num>
  <w:num w:numId="25">
    <w:abstractNumId w:val="22"/>
  </w:num>
  <w:num w:numId="26">
    <w:abstractNumId w:val="16"/>
  </w:num>
  <w:num w:numId="27">
    <w:abstractNumId w:val="10"/>
  </w:num>
  <w:num w:numId="28">
    <w:abstractNumId w:val="7"/>
  </w:num>
  <w:num w:numId="29">
    <w:abstractNumId w:val="6"/>
  </w:num>
  <w:num w:numId="30">
    <w:abstractNumId w:val="3"/>
  </w:num>
  <w:num w:numId="31">
    <w:abstractNumId w:val="18"/>
  </w:num>
  <w:num w:numId="32">
    <w:abstractNumId w:val="2"/>
  </w:num>
  <w:num w:numId="33">
    <w:abstractNumId w:val="13"/>
  </w:num>
  <w:num w:numId="34">
    <w:abstractNumId w:val="39"/>
  </w:num>
  <w:num w:numId="35">
    <w:abstractNumId w:val="37"/>
  </w:num>
  <w:num w:numId="36">
    <w:abstractNumId w:val="19"/>
  </w:num>
  <w:num w:numId="37">
    <w:abstractNumId w:val="30"/>
  </w:num>
  <w:num w:numId="38">
    <w:abstractNumId w:val="8"/>
  </w:num>
  <w:num w:numId="39">
    <w:abstractNumId w:val="12"/>
  </w:num>
  <w:num w:numId="40">
    <w:abstractNumId w:val="33"/>
  </w:num>
  <w:num w:numId="41">
    <w:abstractNumId w:val="15"/>
  </w:num>
  <w:num w:numId="42">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8192E"/>
    <w:rsid w:val="00096CC2"/>
    <w:rsid w:val="000B2BC8"/>
    <w:rsid w:val="000C6443"/>
    <w:rsid w:val="000D5AEA"/>
    <w:rsid w:val="000F1AD8"/>
    <w:rsid w:val="00102360"/>
    <w:rsid w:val="00102A9E"/>
    <w:rsid w:val="001134A2"/>
    <w:rsid w:val="001240A5"/>
    <w:rsid w:val="0014534B"/>
    <w:rsid w:val="00146C7D"/>
    <w:rsid w:val="001744A9"/>
    <w:rsid w:val="001759E6"/>
    <w:rsid w:val="00187610"/>
    <w:rsid w:val="001B19B4"/>
    <w:rsid w:val="001B2A38"/>
    <w:rsid w:val="001D51C6"/>
    <w:rsid w:val="001E4EBD"/>
    <w:rsid w:val="001E7FE3"/>
    <w:rsid w:val="00245FAB"/>
    <w:rsid w:val="0027188D"/>
    <w:rsid w:val="002E3ED2"/>
    <w:rsid w:val="002F79FF"/>
    <w:rsid w:val="00303F41"/>
    <w:rsid w:val="00314AAF"/>
    <w:rsid w:val="00315A31"/>
    <w:rsid w:val="003246CE"/>
    <w:rsid w:val="003258B6"/>
    <w:rsid w:val="00334204"/>
    <w:rsid w:val="00343BFF"/>
    <w:rsid w:val="0035379B"/>
    <w:rsid w:val="00362134"/>
    <w:rsid w:val="00376456"/>
    <w:rsid w:val="00384DBA"/>
    <w:rsid w:val="00391ECE"/>
    <w:rsid w:val="003B64F7"/>
    <w:rsid w:val="003D1DF8"/>
    <w:rsid w:val="004137A7"/>
    <w:rsid w:val="004505EE"/>
    <w:rsid w:val="00466F45"/>
    <w:rsid w:val="00474F5A"/>
    <w:rsid w:val="00476944"/>
    <w:rsid w:val="0048628E"/>
    <w:rsid w:val="004B0239"/>
    <w:rsid w:val="004E1262"/>
    <w:rsid w:val="004F15BB"/>
    <w:rsid w:val="005556CA"/>
    <w:rsid w:val="005635BF"/>
    <w:rsid w:val="00573FEE"/>
    <w:rsid w:val="0057636B"/>
    <w:rsid w:val="00581E2F"/>
    <w:rsid w:val="00586D5D"/>
    <w:rsid w:val="005C544A"/>
    <w:rsid w:val="005E26BC"/>
    <w:rsid w:val="005E38D6"/>
    <w:rsid w:val="005F30BC"/>
    <w:rsid w:val="00617ACF"/>
    <w:rsid w:val="006257F0"/>
    <w:rsid w:val="00630412"/>
    <w:rsid w:val="00630750"/>
    <w:rsid w:val="006577B9"/>
    <w:rsid w:val="00687050"/>
    <w:rsid w:val="006E0F04"/>
    <w:rsid w:val="006E702D"/>
    <w:rsid w:val="006F0A01"/>
    <w:rsid w:val="006F7748"/>
    <w:rsid w:val="00707317"/>
    <w:rsid w:val="00733E65"/>
    <w:rsid w:val="00764DF7"/>
    <w:rsid w:val="0079319A"/>
    <w:rsid w:val="00797A31"/>
    <w:rsid w:val="007A5C1B"/>
    <w:rsid w:val="007D037D"/>
    <w:rsid w:val="007D2118"/>
    <w:rsid w:val="007D2E80"/>
    <w:rsid w:val="007F564A"/>
    <w:rsid w:val="008039E7"/>
    <w:rsid w:val="00807E40"/>
    <w:rsid w:val="0081508B"/>
    <w:rsid w:val="00877AE6"/>
    <w:rsid w:val="008C2121"/>
    <w:rsid w:val="008F7805"/>
    <w:rsid w:val="00902FFF"/>
    <w:rsid w:val="00905472"/>
    <w:rsid w:val="009109B4"/>
    <w:rsid w:val="00931838"/>
    <w:rsid w:val="009760F0"/>
    <w:rsid w:val="0098322D"/>
    <w:rsid w:val="009A2D39"/>
    <w:rsid w:val="009C382C"/>
    <w:rsid w:val="009D7DC0"/>
    <w:rsid w:val="009E73DE"/>
    <w:rsid w:val="00A0789D"/>
    <w:rsid w:val="00A112DF"/>
    <w:rsid w:val="00A13BDF"/>
    <w:rsid w:val="00A61EE4"/>
    <w:rsid w:val="00A640C7"/>
    <w:rsid w:val="00A7073D"/>
    <w:rsid w:val="00A766F3"/>
    <w:rsid w:val="00A93DB3"/>
    <w:rsid w:val="00B16632"/>
    <w:rsid w:val="00B31280"/>
    <w:rsid w:val="00B418D3"/>
    <w:rsid w:val="00B44BEB"/>
    <w:rsid w:val="00B46FD7"/>
    <w:rsid w:val="00B5044C"/>
    <w:rsid w:val="00B753F9"/>
    <w:rsid w:val="00B9285A"/>
    <w:rsid w:val="00BB488C"/>
    <w:rsid w:val="00C06F53"/>
    <w:rsid w:val="00C20346"/>
    <w:rsid w:val="00C3434E"/>
    <w:rsid w:val="00C37DBB"/>
    <w:rsid w:val="00C71CD0"/>
    <w:rsid w:val="00C72591"/>
    <w:rsid w:val="00C743FE"/>
    <w:rsid w:val="00C753D8"/>
    <w:rsid w:val="00CA2B8E"/>
    <w:rsid w:val="00CB73E4"/>
    <w:rsid w:val="00CC7CC1"/>
    <w:rsid w:val="00CF0462"/>
    <w:rsid w:val="00CF69A6"/>
    <w:rsid w:val="00D214EE"/>
    <w:rsid w:val="00D7079B"/>
    <w:rsid w:val="00D70E0E"/>
    <w:rsid w:val="00D968F7"/>
    <w:rsid w:val="00DD14BB"/>
    <w:rsid w:val="00DE7A32"/>
    <w:rsid w:val="00E06302"/>
    <w:rsid w:val="00E20DC1"/>
    <w:rsid w:val="00E220D0"/>
    <w:rsid w:val="00E235A7"/>
    <w:rsid w:val="00E32640"/>
    <w:rsid w:val="00E37324"/>
    <w:rsid w:val="00E452DC"/>
    <w:rsid w:val="00E469EB"/>
    <w:rsid w:val="00E57622"/>
    <w:rsid w:val="00E82D3D"/>
    <w:rsid w:val="00EA1463"/>
    <w:rsid w:val="00EB7577"/>
    <w:rsid w:val="00EC2EC2"/>
    <w:rsid w:val="00EC673D"/>
    <w:rsid w:val="00EF1A34"/>
    <w:rsid w:val="00F01325"/>
    <w:rsid w:val="00F1435E"/>
    <w:rsid w:val="00F16AB7"/>
    <w:rsid w:val="00F30EE8"/>
    <w:rsid w:val="00F354D8"/>
    <w:rsid w:val="00F60D79"/>
    <w:rsid w:val="00F756D6"/>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3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4602-9F61-428F-A01D-9D0D2589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1973</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2019-01-15T00:39:00Z</cp:lastPrinted>
  <dcterms:created xsi:type="dcterms:W3CDTF">2019-02-05T19:43:00Z</dcterms:created>
  <dcterms:modified xsi:type="dcterms:W3CDTF">2019-03-21T00:28:00Z</dcterms:modified>
</cp:coreProperties>
</file>